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C40F4" w14:textId="77777777" w:rsidR="00C46B74" w:rsidRPr="00851E04" w:rsidRDefault="00C46B74" w:rsidP="00C46B74">
      <w:pPr>
        <w:pStyle w:val="NIVEL1"/>
        <w:rPr>
          <w:lang w:val="es-ES"/>
        </w:rPr>
      </w:pPr>
      <w:bookmarkStart w:id="0" w:name="_Toc100575559"/>
      <w:bookmarkStart w:id="1" w:name="_Toc100575895"/>
      <w:bookmarkStart w:id="2" w:name="_Toc100576232"/>
      <w:bookmarkStart w:id="3" w:name="_Toc100577853"/>
      <w:bookmarkStart w:id="4" w:name="_Toc100578525"/>
      <w:bookmarkStart w:id="5" w:name="_Toc100578861"/>
      <w:bookmarkStart w:id="6" w:name="_Toc100579197"/>
      <w:bookmarkStart w:id="7" w:name="_Toc100579535"/>
      <w:bookmarkStart w:id="8" w:name="_Toc177038485"/>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6184D244" w14:textId="77777777" w:rsidR="00C46B74" w:rsidRDefault="00C46B74" w:rsidP="00C46B74">
      <w:pPr>
        <w:autoSpaceDE w:val="0"/>
        <w:autoSpaceDN w:val="0"/>
        <w:adjustRightInd w:val="0"/>
        <w:jc w:val="both"/>
        <w:rPr>
          <w:rFonts w:ascii="ENAIRE Titillium Regular" w:hAnsi="ENAIRE Titillium Regular" w:cs="Arial"/>
          <w:sz w:val="20"/>
          <w:lang w:val="es-ES"/>
        </w:rPr>
      </w:pPr>
    </w:p>
    <w:p w14:paraId="3F835DD5" w14:textId="77777777" w:rsidR="00C46B74" w:rsidRPr="004E68B8" w:rsidRDefault="00C46B74" w:rsidP="00C46B74">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2DB39A22"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5E2CD774"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p>
    <w:p w14:paraId="79525374"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w:t>
      </w:r>
      <w:proofErr w:type="spellStart"/>
      <w:r w:rsidRPr="004E68B8">
        <w:rPr>
          <w:rFonts w:ascii="ENAIRE Titillium Regular" w:hAnsi="ENAIRE Titillium Regular" w:cs="Arial"/>
          <w:sz w:val="20"/>
          <w:lang w:val="es-ES"/>
        </w:rPr>
        <w:t>Euratom</w:t>
      </w:r>
      <w:proofErr w:type="spellEnd"/>
      <w:r w:rsidRPr="004E68B8">
        <w:rPr>
          <w:rFonts w:ascii="ENAIRE Titillium Regular" w:hAnsi="ENAIRE Titillium Regular" w:cs="Arial"/>
          <w:sz w:val="20"/>
          <w:lang w:val="es-ES"/>
        </w:rPr>
        <w:t xml:space="preserve">)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665892EF"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p>
    <w:p w14:paraId="6F09B629"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629E2CD7"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p>
    <w:p w14:paraId="692B2E50"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389C96B8"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p>
    <w:p w14:paraId="6A4EDAA5"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E26E8EB"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p>
    <w:p w14:paraId="65C27EAC" w14:textId="77777777" w:rsidR="00C46B74" w:rsidRPr="004E68B8" w:rsidRDefault="00C46B74" w:rsidP="00C46B74">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71827DB3" w14:textId="77777777" w:rsidR="00C46B74" w:rsidRPr="004E68B8" w:rsidRDefault="00C46B74" w:rsidP="00C46B74">
      <w:pPr>
        <w:widowControl/>
        <w:autoSpaceDE w:val="0"/>
        <w:autoSpaceDN w:val="0"/>
        <w:adjustRightInd w:val="0"/>
        <w:jc w:val="both"/>
        <w:rPr>
          <w:rFonts w:ascii="Calibri" w:eastAsia="Calibri" w:hAnsi="Calibri"/>
          <w:snapToGrid/>
          <w:sz w:val="22"/>
          <w:szCs w:val="22"/>
          <w:lang w:val="es-ES" w:eastAsia="en-US"/>
        </w:rPr>
      </w:pPr>
    </w:p>
    <w:p w14:paraId="361D277A" w14:textId="77777777" w:rsidR="00C46B74" w:rsidRPr="004E68B8" w:rsidRDefault="00C46B74" w:rsidP="00C46B74">
      <w:pPr>
        <w:widowControl/>
        <w:autoSpaceDE w:val="0"/>
        <w:autoSpaceDN w:val="0"/>
        <w:adjustRightInd w:val="0"/>
        <w:jc w:val="both"/>
        <w:rPr>
          <w:rFonts w:ascii="Calibri" w:eastAsia="Calibri" w:hAnsi="Calibri"/>
          <w:snapToGrid/>
          <w:sz w:val="22"/>
          <w:szCs w:val="22"/>
          <w:lang w:val="es-ES" w:eastAsia="en-US"/>
        </w:rPr>
      </w:pPr>
    </w:p>
    <w:p w14:paraId="17803915" w14:textId="77777777" w:rsidR="00C46B74" w:rsidRPr="004E68B8" w:rsidRDefault="00C46B74" w:rsidP="00C46B74">
      <w:pPr>
        <w:widowControl/>
        <w:spacing w:after="160" w:line="259" w:lineRule="auto"/>
        <w:rPr>
          <w:rFonts w:ascii="Arial" w:hAnsi="Arial" w:cs="Arial"/>
          <w:sz w:val="20"/>
          <w:lang w:val="es-ES"/>
        </w:rPr>
      </w:pPr>
    </w:p>
    <w:p w14:paraId="2D1A923A" w14:textId="77777777" w:rsidR="00C46B74" w:rsidRPr="004E68B8" w:rsidRDefault="00C46B74" w:rsidP="00C46B74">
      <w:pPr>
        <w:widowControl/>
        <w:spacing w:after="160" w:line="259" w:lineRule="auto"/>
        <w:rPr>
          <w:rFonts w:ascii="Arial" w:hAnsi="Arial" w:cs="Arial"/>
          <w:sz w:val="20"/>
          <w:lang w:val="es-ES"/>
        </w:rPr>
      </w:pPr>
    </w:p>
    <w:p w14:paraId="6F688C5D" w14:textId="77777777" w:rsidR="00C46B74" w:rsidRPr="004E68B8" w:rsidRDefault="00C46B74" w:rsidP="00C46B74">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18DDCF10" w14:textId="77777777" w:rsidR="00C46B74" w:rsidRPr="004E68B8" w:rsidRDefault="00C46B74" w:rsidP="00C46B74">
      <w:pPr>
        <w:widowControl/>
        <w:spacing w:after="160" w:line="259" w:lineRule="auto"/>
        <w:rPr>
          <w:rFonts w:ascii="ENAIRE Titillium Regular" w:hAnsi="ENAIRE Titillium Regular" w:cs="Arial"/>
          <w:sz w:val="20"/>
          <w:lang w:val="es-ES"/>
        </w:rPr>
      </w:pPr>
    </w:p>
    <w:p w14:paraId="105D5548" w14:textId="77777777" w:rsidR="00C46B74" w:rsidRPr="004E68B8" w:rsidRDefault="00C46B74" w:rsidP="00C46B74">
      <w:pPr>
        <w:widowControl/>
        <w:spacing w:after="160" w:line="259" w:lineRule="auto"/>
        <w:rPr>
          <w:rFonts w:ascii="ENAIRE Titillium Regular" w:hAnsi="ENAIRE Titillium Regular" w:cs="Arial"/>
          <w:sz w:val="20"/>
          <w:lang w:val="es-ES"/>
        </w:rPr>
      </w:pPr>
    </w:p>
    <w:p w14:paraId="679D7509" w14:textId="77777777" w:rsidR="00C46B74" w:rsidRPr="004E68B8" w:rsidRDefault="00C46B74" w:rsidP="00C46B74">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1E9FB7DB" w14:textId="77777777" w:rsidR="00C46B74" w:rsidRPr="004E68B8" w:rsidRDefault="00C46B74" w:rsidP="00C46B74">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705D2160" w14:textId="77777777" w:rsidR="00C46B74" w:rsidRPr="00F47485" w:rsidRDefault="00C46B74" w:rsidP="00C46B74">
      <w:pPr>
        <w:widowControl/>
        <w:spacing w:after="160" w:line="259" w:lineRule="auto"/>
        <w:rPr>
          <w:rFonts w:ascii="ENAIRE Titillium Regular" w:hAnsi="ENAIRE Titillium Regular" w:cs="Arial"/>
          <w:sz w:val="20"/>
        </w:rPr>
      </w:pPr>
      <w:proofErr w:type="spellStart"/>
      <w:r w:rsidRPr="00F47485">
        <w:rPr>
          <w:rFonts w:ascii="ENAIRE Titillium Regular" w:hAnsi="ENAIRE Titillium Regular" w:cs="Arial"/>
          <w:sz w:val="20"/>
        </w:rPr>
        <w:t>Fdo</w:t>
      </w:r>
      <w:proofErr w:type="spellEnd"/>
      <w:r w:rsidRPr="00F47485">
        <w:rPr>
          <w:rFonts w:ascii="ENAIRE Titillium Regular" w:hAnsi="ENAIRE Titillium Regular" w:cs="Arial"/>
          <w:sz w:val="20"/>
        </w:rPr>
        <w:t>. …………………………………………….</w:t>
      </w:r>
    </w:p>
    <w:p w14:paraId="3FD65164" w14:textId="77777777" w:rsidR="00C46B74" w:rsidRPr="00F47485" w:rsidRDefault="00C46B74" w:rsidP="00C46B74">
      <w:pPr>
        <w:widowControl/>
        <w:spacing w:after="160" w:line="259" w:lineRule="auto"/>
        <w:rPr>
          <w:rFonts w:ascii="ENAIRE Titillium Regular" w:hAnsi="ENAIRE Titillium Regular" w:cs="Arial"/>
          <w:sz w:val="20"/>
        </w:rPr>
      </w:pPr>
      <w:r w:rsidRPr="00F47485">
        <w:rPr>
          <w:rFonts w:ascii="ENAIRE Titillium Regular" w:hAnsi="ENAIRE Titillium Regular" w:cs="Arial"/>
          <w:sz w:val="20"/>
        </w:rPr>
        <w:t>Cargo: ………………………………………</w:t>
      </w:r>
      <w:r>
        <w:rPr>
          <w:rFonts w:ascii="ENAIRE Titillium Regular" w:hAnsi="ENAIRE Titillium Regular" w:cs="Arial"/>
          <w:sz w:val="20"/>
        </w:rPr>
        <w:t>…</w:t>
      </w:r>
    </w:p>
    <w:p w14:paraId="1BFD4A5D" w14:textId="77777777" w:rsidR="00C46B74" w:rsidRPr="000A7D2B" w:rsidRDefault="00C46B74" w:rsidP="00C46B74">
      <w:pPr>
        <w:widowControl/>
        <w:rPr>
          <w:rFonts w:ascii="ENAIRE Titillium Regular" w:hAnsi="ENAIRE Titillium Regular" w:cs="Arial"/>
          <w:sz w:val="20"/>
        </w:rPr>
      </w:pPr>
    </w:p>
    <w:p w14:paraId="107C28E7" w14:textId="77777777" w:rsidR="009D7AE8" w:rsidRDefault="009D7AE8"/>
    <w:sectPr w:rsidR="009D7AE8" w:rsidSect="00C46B74">
      <w:headerReference w:type="default" r:id="rId4"/>
      <w:footerReference w:type="default" r:id="rId5"/>
      <w:endnotePr>
        <w:numFmt w:val="decimal"/>
      </w:endnotePr>
      <w:pgSz w:w="11906" w:h="16838"/>
      <w:pgMar w:top="1701" w:right="1440" w:bottom="1418" w:left="1440" w:header="340" w:footer="567" w:gutter="0"/>
      <w:pgNumType w:fmt="numberInDash"/>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CED4" w14:textId="77777777" w:rsidR="00000000" w:rsidRDefault="00000000">
    <w:pPr>
      <w:pStyle w:val="Piedepgina"/>
      <w:jc w:val="center"/>
    </w:pPr>
    <w:r>
      <w:fldChar w:fldCharType="begin"/>
    </w:r>
    <w:r>
      <w:instrText xml:space="preserve"> PAGE   \* MERGEFORMAT </w:instrText>
    </w:r>
    <w:r>
      <w:fldChar w:fldCharType="separate"/>
    </w:r>
    <w:r>
      <w:rPr>
        <w:noProof/>
      </w:rPr>
      <w:t xml:space="preserve">- </w:t>
    </w:r>
    <w:r w:rsidRPr="00525518">
      <w:rPr>
        <w:rFonts w:ascii="ENAIRE Titillium Regular" w:hAnsi="ENAIRE Titillium Regular"/>
        <w:noProof/>
      </w:rPr>
      <w:t>1</w:t>
    </w:r>
    <w:r>
      <w:rPr>
        <w:noProof/>
      </w:rPr>
      <w:t xml:space="preserve"> -</w:t>
    </w:r>
    <w:r>
      <w:fldChar w:fldCharType="end"/>
    </w:r>
  </w:p>
  <w:p w14:paraId="7F409645" w14:textId="77777777" w:rsidR="00000000" w:rsidRPr="00F56AB3" w:rsidRDefault="00000000">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8DE0" w14:textId="77777777" w:rsidR="00000000" w:rsidRPr="005A6B73" w:rsidRDefault="00000000" w:rsidP="001478B6">
    <w:pPr>
      <w:jc w:val="both"/>
      <w:rPr>
        <w:rFonts w:ascii="Tahoma" w:hAnsi="Tahoma" w:cs="Tahoma"/>
        <w:b/>
        <w:bCs/>
        <w:i/>
        <w:iCs/>
        <w:sz w:val="18"/>
        <w:lang w:val="es-ES"/>
      </w:rPr>
    </w:pPr>
    <w:r>
      <w:rPr>
        <w:rFonts w:ascii="Arial" w:hAnsi="Arial"/>
        <w:i/>
        <w:lang w:val="es-ES_tradnl"/>
      </w:rPr>
      <w:t xml:space="preserve"> </w:t>
    </w:r>
  </w:p>
  <w:p w14:paraId="18C1BE24" w14:textId="77777777" w:rsidR="00000000" w:rsidRPr="003F1C4E" w:rsidRDefault="00000000" w:rsidP="00D64880">
    <w:pPr>
      <w:ind w:left="2880"/>
      <w:jc w:val="right"/>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60288" behindDoc="0" locked="0" layoutInCell="1" allowOverlap="1" wp14:anchorId="6ACA5701" wp14:editId="6F78A025">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Pr>
        <w:rFonts w:ascii="ENAIRE Titillium Bold" w:hAnsi="ENAIRE Titillium Bold" w:cs="Arial"/>
        <w:b/>
        <w:sz w:val="22"/>
        <w:szCs w:val="22"/>
        <w:lang w:val="es-ES_tradnl"/>
      </w:rPr>
      <w:t xml:space="preserve"> </w:t>
    </w:r>
    <w:r>
      <w:rPr>
        <w:rFonts w:ascii="ENAIRE Titillium Bold" w:hAnsi="ENAIRE Titillium Bold" w:cs="Arial"/>
        <w:b/>
        <w:noProof/>
        <w:sz w:val="22"/>
        <w:szCs w:val="22"/>
        <w:lang w:val="es-ES_tradnl"/>
      </w:rPr>
      <w:t>DNA 293/2024</w:t>
    </w:r>
  </w:p>
  <w:p w14:paraId="5BA836E7" w14:textId="77777777" w:rsidR="00000000" w:rsidRDefault="00000000" w:rsidP="00475B5C">
    <w:pPr>
      <w:pStyle w:val="Ttulo5"/>
    </w:pPr>
    <w:r>
      <w:rPr>
        <w:noProof/>
        <w:lang w:val="es-ES"/>
      </w:rPr>
      <mc:AlternateContent>
        <mc:Choice Requires="wps">
          <w:drawing>
            <wp:anchor distT="0" distB="0" distL="114300" distR="114300" simplePos="0" relativeHeight="251659264" behindDoc="0" locked="0" layoutInCell="1" allowOverlap="1" wp14:anchorId="01A4A31B" wp14:editId="2411F96F">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7CAFA"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B74"/>
    <w:rsid w:val="009D7AE8"/>
    <w:rsid w:val="00C46B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FA20C"/>
  <w15:chartTrackingRefBased/>
  <w15:docId w15:val="{01EC8CD2-330B-4B71-8FBA-4EABEE8BB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B74"/>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5">
    <w:name w:val="heading 5"/>
    <w:basedOn w:val="Normal"/>
    <w:next w:val="Normal"/>
    <w:link w:val="Ttulo5Car"/>
    <w:qFormat/>
    <w:rsid w:val="00C46B74"/>
    <w:pPr>
      <w:keepNext/>
      <w:outlineLvl w:val="4"/>
    </w:pPr>
    <w:rPr>
      <w:rFonts w:ascii="Univers" w:hAnsi="Univer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C46B74"/>
    <w:rPr>
      <w:rFonts w:ascii="Univers" w:eastAsia="Times New Roman" w:hAnsi="Univers" w:cs="Times New Roman"/>
      <w:b/>
      <w:bCs/>
      <w:snapToGrid w:val="0"/>
      <w:kern w:val="0"/>
      <w:sz w:val="24"/>
      <w:szCs w:val="20"/>
      <w:lang w:val="en-US" w:eastAsia="es-ES"/>
      <w14:ligatures w14:val="none"/>
    </w:rPr>
  </w:style>
  <w:style w:type="paragraph" w:styleId="Piedepgina">
    <w:name w:val="footer"/>
    <w:basedOn w:val="Normal"/>
    <w:link w:val="PiedepginaCar"/>
    <w:uiPriority w:val="99"/>
    <w:rsid w:val="00C46B74"/>
    <w:pPr>
      <w:tabs>
        <w:tab w:val="center" w:pos="4252"/>
        <w:tab w:val="right" w:pos="8504"/>
      </w:tabs>
    </w:pPr>
    <w:rPr>
      <w:lang w:eastAsia="x-none"/>
    </w:rPr>
  </w:style>
  <w:style w:type="character" w:customStyle="1" w:styleId="PiedepginaCar">
    <w:name w:val="Pie de página Car"/>
    <w:basedOn w:val="Fuentedeprrafopredeter"/>
    <w:link w:val="Piedepgina"/>
    <w:uiPriority w:val="99"/>
    <w:rsid w:val="00C46B74"/>
    <w:rPr>
      <w:rFonts w:ascii="Courier" w:eastAsia="Times New Roman" w:hAnsi="Courier" w:cs="Times New Roman"/>
      <w:snapToGrid w:val="0"/>
      <w:kern w:val="0"/>
      <w:sz w:val="24"/>
      <w:szCs w:val="20"/>
      <w:lang w:val="en-US" w:eastAsia="x-none"/>
      <w14:ligatures w14:val="none"/>
    </w:rPr>
  </w:style>
  <w:style w:type="paragraph" w:customStyle="1" w:styleId="NIVEL1">
    <w:name w:val="NIVEL 1"/>
    <w:basedOn w:val="Normal"/>
    <w:link w:val="NIVEL1Car"/>
    <w:qFormat/>
    <w:rsid w:val="00C46B74"/>
    <w:pPr>
      <w:ind w:right="-113"/>
      <w:jc w:val="both"/>
    </w:pPr>
    <w:rPr>
      <w:rFonts w:ascii="ENAIRE Titillium Bold" w:hAnsi="ENAIRE Titillium Bold"/>
      <w:sz w:val="22"/>
      <w:u w:val="single"/>
      <w:lang w:eastAsia="x-none"/>
    </w:rPr>
  </w:style>
  <w:style w:type="character" w:customStyle="1" w:styleId="NIVEL1Car">
    <w:name w:val="NIVEL 1 Car"/>
    <w:link w:val="NIVEL1"/>
    <w:rsid w:val="00C46B74"/>
    <w:rPr>
      <w:rFonts w:ascii="ENAIRE Titillium Bold" w:eastAsia="Times New Roman" w:hAnsi="ENAIRE Titillium Bold" w:cs="Times New Roman"/>
      <w:snapToGrid w:val="0"/>
      <w:kern w:val="0"/>
      <w:szCs w:val="20"/>
      <w:u w:val="single"/>
      <w:lang w:val="en-US"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63192-BE6D-4D79-99E5-1D8C62591F4A}"/>
</file>

<file path=customXml/itemProps2.xml><?xml version="1.0" encoding="utf-8"?>
<ds:datastoreItem xmlns:ds="http://schemas.openxmlformats.org/officeDocument/2006/customXml" ds:itemID="{8F6D8B7B-01F2-4CFE-A88D-A83C308EC51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2024-09-16T06:51:00Z</dcterms:created>
  <dcterms:modified xsi:type="dcterms:W3CDTF">2024-09-16T06:51:00Z</dcterms:modified>
</cp:coreProperties>
</file>