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5175" w14:textId="67331D81" w:rsidR="002F15C0" w:rsidRPr="002F15C0" w:rsidRDefault="002F15C0" w:rsidP="00240A02">
      <w:pPr>
        <w:pStyle w:val="Ttulo1"/>
        <w:keepNext/>
        <w:widowControl w:val="0"/>
        <w:pBdr>
          <w:bottom w:val="single" w:sz="12" w:space="2" w:color="C00000"/>
        </w:pBdr>
        <w:overflowPunct/>
        <w:autoSpaceDE/>
        <w:autoSpaceDN/>
        <w:adjustRightInd/>
        <w:spacing w:after="60"/>
        <w:jc w:val="center"/>
        <w:textAlignment w:val="auto"/>
        <w:rPr>
          <w:rStyle w:val="nfasisintenso"/>
          <w:rFonts w:ascii="Calibri" w:hAnsi="Calibri"/>
          <w:b/>
          <w:bCs w:val="0"/>
          <w:i w:val="0"/>
          <w:iCs w:val="0"/>
          <w:color w:val="000000"/>
          <w:kern w:val="32"/>
          <w:szCs w:val="28"/>
          <w:lang w:val="es-ES"/>
        </w:rPr>
      </w:pPr>
      <w:r w:rsidRPr="002F15C0">
        <w:rPr>
          <w:rStyle w:val="nfasisintenso"/>
          <w:rFonts w:ascii="Calibri" w:hAnsi="Calibri"/>
          <w:b/>
          <w:bCs w:val="0"/>
          <w:i w:val="0"/>
          <w:iCs w:val="0"/>
          <w:color w:val="000000"/>
          <w:kern w:val="32"/>
          <w:szCs w:val="28"/>
          <w:lang w:val="es-ES"/>
        </w:rPr>
        <w:t xml:space="preserve">ANEXO </w:t>
      </w:r>
      <w:r w:rsidR="00D06BB6">
        <w:rPr>
          <w:rStyle w:val="nfasisintenso"/>
          <w:rFonts w:ascii="Calibri" w:hAnsi="Calibri"/>
          <w:b/>
          <w:bCs w:val="0"/>
          <w:i w:val="0"/>
          <w:iCs w:val="0"/>
          <w:color w:val="000000"/>
          <w:kern w:val="32"/>
          <w:szCs w:val="28"/>
          <w:lang w:val="es-ES"/>
        </w:rPr>
        <w:t>I</w:t>
      </w:r>
      <w:r w:rsidRPr="002F15C0">
        <w:rPr>
          <w:rStyle w:val="nfasisintenso"/>
          <w:rFonts w:ascii="Calibri" w:hAnsi="Calibri"/>
          <w:b/>
          <w:bCs w:val="0"/>
          <w:i w:val="0"/>
          <w:iCs w:val="0"/>
          <w:color w:val="000000"/>
          <w:kern w:val="32"/>
          <w:szCs w:val="28"/>
          <w:lang w:val="es-ES"/>
        </w:rPr>
        <w:t xml:space="preserve">I – </w:t>
      </w:r>
      <w:r>
        <w:rPr>
          <w:rStyle w:val="nfasisintenso"/>
          <w:rFonts w:ascii="Calibri" w:hAnsi="Calibri"/>
          <w:b/>
          <w:bCs w:val="0"/>
          <w:i w:val="0"/>
          <w:iCs w:val="0"/>
          <w:color w:val="000000"/>
          <w:kern w:val="32"/>
          <w:szCs w:val="28"/>
          <w:lang w:val="es-ES"/>
        </w:rPr>
        <w:t>JUSTIFICACIÓN DEL VALOR ESTIMADO Y MODIFICACIONES</w:t>
      </w:r>
    </w:p>
    <w:p w14:paraId="0443B738" w14:textId="77777777" w:rsidR="002F15C0" w:rsidRDefault="002F15C0" w:rsidP="002F15C0">
      <w:pPr>
        <w:rPr>
          <w:rFonts w:ascii="Calibri" w:hAnsi="Calibri"/>
          <w:sz w:val="22"/>
          <w:lang w:eastAsia="es-ES"/>
        </w:rPr>
      </w:pPr>
    </w:p>
    <w:p w14:paraId="62B4D4CD" w14:textId="77777777" w:rsidR="00D4516A" w:rsidRDefault="00D4516A" w:rsidP="00D4516A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 xml:space="preserve">Conforme a la normativa de contratación pública se desglosan a continuación los cálculos realizados que justifican el valor estimado establecido para esta licitación, que tendrá una duración inicial de </w:t>
      </w:r>
      <w:r>
        <w:rPr>
          <w:rFonts w:ascii="Calibri" w:hAnsi="Calibri" w:cs="Calibri"/>
        </w:rPr>
        <w:t>36</w:t>
      </w:r>
      <w:r w:rsidRPr="002F15C0">
        <w:rPr>
          <w:rFonts w:ascii="Calibri" w:hAnsi="Calibri" w:cs="Calibri"/>
        </w:rPr>
        <w:t xml:space="preserve"> meses y está prevista una posible prórroga de 24 meses, así como modificaciones previstas.</w:t>
      </w:r>
    </w:p>
    <w:p w14:paraId="4E54A3CC" w14:textId="77777777" w:rsidR="00D4516A" w:rsidRPr="002F15C0" w:rsidRDefault="00D4516A" w:rsidP="00D4516A">
      <w:pPr>
        <w:rPr>
          <w:rFonts w:ascii="Calibri" w:hAnsi="Calibri" w:cs="Calibri"/>
        </w:rPr>
      </w:pPr>
    </w:p>
    <w:p w14:paraId="05D876F1" w14:textId="3761C42A" w:rsidR="00994535" w:rsidRDefault="00D4516A" w:rsidP="00D4516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El presupuesto </w:t>
      </w:r>
      <w:r w:rsidRPr="002F15C0">
        <w:rPr>
          <w:rFonts w:ascii="Calibri" w:hAnsi="Calibri" w:cs="Calibri"/>
        </w:rPr>
        <w:t xml:space="preserve">se ha obtenido teniendo en cuenta </w:t>
      </w:r>
      <w:r>
        <w:rPr>
          <w:rFonts w:ascii="Calibri" w:hAnsi="Calibri" w:cs="Calibri"/>
        </w:rPr>
        <w:t xml:space="preserve">las necesidades </w:t>
      </w:r>
      <w:r w:rsidRPr="002F15C0">
        <w:rPr>
          <w:rFonts w:ascii="Calibri" w:hAnsi="Calibri" w:cs="Calibri"/>
        </w:rPr>
        <w:t>precedentes, ajustad</w:t>
      </w:r>
      <w:r>
        <w:rPr>
          <w:rFonts w:ascii="Calibri" w:hAnsi="Calibri" w:cs="Calibri"/>
        </w:rPr>
        <w:t>as</w:t>
      </w:r>
      <w:r w:rsidRPr="002F15C0">
        <w:rPr>
          <w:rFonts w:ascii="Calibri" w:hAnsi="Calibri" w:cs="Calibri"/>
        </w:rPr>
        <w:t xml:space="preserve"> a las necesidades actuales y previstas en función de los cambios producidos en el transcurso del anterior contrato</w:t>
      </w:r>
      <w:r w:rsidR="001815CD">
        <w:rPr>
          <w:rFonts w:ascii="Calibri" w:hAnsi="Calibri" w:cs="Calibri"/>
        </w:rPr>
        <w:t xml:space="preserve"> (incluido dentro del servicio </w:t>
      </w:r>
      <w:r w:rsidR="001815CD" w:rsidRPr="001815CD">
        <w:rPr>
          <w:rFonts w:ascii="Calibri" w:hAnsi="Calibri" w:cs="Calibri"/>
        </w:rPr>
        <w:t xml:space="preserve">de representación procesal y de defensa jurídica de aquellos procedimientos judiciales de prestaciones en que FREMAP, Mutua Colaboradora con la Seguridad Social nº61 sea parte en </w:t>
      </w:r>
      <w:r w:rsidR="00E14C0C">
        <w:rPr>
          <w:rFonts w:ascii="Calibri" w:hAnsi="Calibri" w:cs="Calibri"/>
        </w:rPr>
        <w:t>Ponferrada</w:t>
      </w:r>
      <w:r w:rsidR="001815CD">
        <w:rPr>
          <w:rFonts w:ascii="Calibri" w:hAnsi="Calibri" w:cs="Calibri"/>
        </w:rPr>
        <w:t>)</w:t>
      </w:r>
      <w:r w:rsidRPr="002F15C0">
        <w:rPr>
          <w:rFonts w:ascii="Calibri" w:hAnsi="Calibri" w:cs="Calibri"/>
        </w:rPr>
        <w:t xml:space="preserve"> y adaptando los precios al mercado. Siendo el presupuesto para la duración inicial</w:t>
      </w:r>
      <w:r w:rsidR="002F15C0">
        <w:rPr>
          <w:rFonts w:ascii="Calibri" w:hAnsi="Calibri" w:cs="Calibri"/>
        </w:rPr>
        <w:t>:</w:t>
      </w:r>
    </w:p>
    <w:p w14:paraId="1B51A55C" w14:textId="77777777" w:rsidR="002F15C0" w:rsidRDefault="002F15C0" w:rsidP="002F15C0">
      <w:pPr>
        <w:rPr>
          <w:rFonts w:ascii="Calibri" w:hAnsi="Calibri" w:cs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2829"/>
      </w:tblGrid>
      <w:tr w:rsidR="00540557" w:rsidRPr="00A65462" w14:paraId="211B6C06" w14:textId="77777777" w:rsidTr="00A3332A">
        <w:trPr>
          <w:trHeight w:val="818"/>
        </w:trPr>
        <w:tc>
          <w:tcPr>
            <w:tcW w:w="566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C00000"/>
          </w:tcPr>
          <w:p w14:paraId="5DAB0FA4" w14:textId="77777777" w:rsidR="00540557" w:rsidRDefault="00540557" w:rsidP="00A3332A">
            <w:pPr>
              <w:tabs>
                <w:tab w:val="left" w:pos="1870"/>
                <w:tab w:val="center" w:pos="2270"/>
              </w:tabs>
              <w:jc w:val="left"/>
              <w:rPr>
                <w:rFonts w:ascii="Calibri" w:hAnsi="Calibri"/>
                <w:b/>
                <w:bCs/>
                <w:color w:val="FFFFFF" w:themeColor="background1"/>
                <w:sz w:val="22"/>
                <w:lang w:eastAsia="es-ES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sz w:val="22"/>
                <w:lang w:eastAsia="es-ES"/>
              </w:rPr>
              <w:tab/>
            </w:r>
          </w:p>
          <w:p w14:paraId="0683F8FF" w14:textId="77777777" w:rsidR="00540557" w:rsidRPr="00A65462" w:rsidRDefault="00540557" w:rsidP="00A3332A">
            <w:pPr>
              <w:tabs>
                <w:tab w:val="left" w:pos="1870"/>
                <w:tab w:val="center" w:pos="2270"/>
              </w:tabs>
              <w:jc w:val="left"/>
              <w:rPr>
                <w:rFonts w:ascii="Calibri" w:hAnsi="Calibri"/>
                <w:b/>
                <w:bCs/>
                <w:color w:val="FFFFFF" w:themeColor="background1"/>
                <w:sz w:val="22"/>
                <w:lang w:eastAsia="es-ES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sz w:val="22"/>
                <w:lang w:eastAsia="es-ES"/>
              </w:rPr>
              <w:tab/>
            </w:r>
            <w:r w:rsidRPr="00A65462">
              <w:rPr>
                <w:rFonts w:ascii="Calibri" w:hAnsi="Calibri"/>
                <w:b/>
                <w:bCs/>
                <w:color w:val="FFFFFF" w:themeColor="background1"/>
                <w:sz w:val="28"/>
                <w:szCs w:val="28"/>
                <w:lang w:eastAsia="es-ES"/>
              </w:rPr>
              <w:t xml:space="preserve">LOTE </w:t>
            </w:r>
          </w:p>
        </w:tc>
        <w:tc>
          <w:tcPr>
            <w:tcW w:w="282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C00000"/>
          </w:tcPr>
          <w:p w14:paraId="0FF41021" w14:textId="77777777" w:rsidR="00540557" w:rsidRPr="00A65462" w:rsidRDefault="00540557" w:rsidP="00A3332A">
            <w:pPr>
              <w:jc w:val="center"/>
              <w:rPr>
                <w:rFonts w:ascii="Calibri" w:hAnsi="Calibri"/>
                <w:b/>
                <w:bCs/>
                <w:sz w:val="22"/>
                <w:lang w:eastAsia="es-ES"/>
              </w:rPr>
            </w:pPr>
            <w:r w:rsidRPr="00A65462">
              <w:rPr>
                <w:rFonts w:ascii="Calibri" w:hAnsi="Calibri"/>
                <w:b/>
                <w:bCs/>
                <w:sz w:val="28"/>
                <w:szCs w:val="28"/>
                <w:lang w:eastAsia="es-ES"/>
              </w:rPr>
              <w:t>Importe duración inicial (</w:t>
            </w:r>
            <w:r>
              <w:rPr>
                <w:rFonts w:ascii="Calibri" w:hAnsi="Calibri"/>
                <w:b/>
                <w:bCs/>
                <w:sz w:val="28"/>
                <w:szCs w:val="28"/>
                <w:lang w:eastAsia="es-ES"/>
              </w:rPr>
              <w:t>36</w:t>
            </w:r>
            <w:r w:rsidRPr="00A65462">
              <w:rPr>
                <w:rFonts w:ascii="Calibri" w:hAnsi="Calibri"/>
                <w:b/>
                <w:bCs/>
                <w:sz w:val="28"/>
                <w:szCs w:val="28"/>
                <w:lang w:eastAsia="es-ES"/>
              </w:rPr>
              <w:t xml:space="preserve"> meses), impuesto/s indirecto/s no incluido/s</w:t>
            </w:r>
          </w:p>
        </w:tc>
      </w:tr>
      <w:tr w:rsidR="00540557" w14:paraId="35010560" w14:textId="77777777" w:rsidTr="00A3332A">
        <w:trPr>
          <w:trHeight w:val="540"/>
        </w:trPr>
        <w:tc>
          <w:tcPr>
            <w:tcW w:w="566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40BF833" w14:textId="023D6388" w:rsidR="00540557" w:rsidRDefault="00540557" w:rsidP="00A3332A">
            <w:pPr>
              <w:rPr>
                <w:rFonts w:ascii="Calibri" w:hAnsi="Calibri"/>
                <w:sz w:val="22"/>
                <w:lang w:eastAsia="es-ES"/>
              </w:rPr>
            </w:pPr>
            <w:r>
              <w:rPr>
                <w:rFonts w:ascii="Calibri" w:hAnsi="Calibri"/>
                <w:sz w:val="22"/>
                <w:lang w:eastAsia="es-ES"/>
              </w:rPr>
              <w:t xml:space="preserve">LOTE 1 – </w:t>
            </w:r>
            <w:r w:rsidRPr="00363FB1">
              <w:rPr>
                <w:rFonts w:ascii="Calibri" w:hAnsi="Calibri"/>
                <w:sz w:val="22"/>
                <w:lang w:eastAsia="es-ES"/>
              </w:rPr>
              <w:t xml:space="preserve">Contratación del servicio de representación procesal y de defensa jurídica de aquellos procedimientos judiciales de prestaciones en que FREMAP, Mutua Colaboradora con la Seguridad Social nº61 sea parte en </w:t>
            </w:r>
            <w:r>
              <w:rPr>
                <w:rFonts w:ascii="Calibri" w:hAnsi="Calibri"/>
                <w:sz w:val="22"/>
                <w:lang w:eastAsia="es-ES"/>
              </w:rPr>
              <w:t>Ponferrada</w:t>
            </w:r>
            <w:r w:rsidRPr="00363FB1">
              <w:rPr>
                <w:rFonts w:ascii="Calibri" w:hAnsi="Calibri"/>
                <w:sz w:val="22"/>
                <w:lang w:eastAsia="es-ES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3D8415" w14:textId="36F1D030" w:rsidR="00540557" w:rsidRDefault="005F29A4" w:rsidP="00A3332A">
            <w:pPr>
              <w:jc w:val="center"/>
              <w:rPr>
                <w:rFonts w:ascii="Calibri" w:hAnsi="Calibri"/>
                <w:sz w:val="22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69.990</w:t>
            </w:r>
            <w:r w:rsidR="00540557" w:rsidRPr="003B2E80">
              <w:rPr>
                <w:rFonts w:ascii="Calibri" w:hAnsi="Calibri" w:cs="Calibri"/>
                <w:color w:val="000000"/>
                <w:sz w:val="22"/>
              </w:rPr>
              <w:t xml:space="preserve">,00 </w:t>
            </w:r>
            <w:r w:rsidR="00540557">
              <w:rPr>
                <w:rFonts w:ascii="Calibri" w:hAnsi="Calibri"/>
                <w:sz w:val="22"/>
                <w:lang w:eastAsia="es-ES"/>
              </w:rPr>
              <w:t>€</w:t>
            </w:r>
          </w:p>
        </w:tc>
      </w:tr>
    </w:tbl>
    <w:p w14:paraId="7E99CAE8" w14:textId="77777777" w:rsidR="002F15C0" w:rsidRDefault="002F15C0" w:rsidP="002F15C0">
      <w:pPr>
        <w:rPr>
          <w:rFonts w:ascii="Calibri" w:hAnsi="Calibri" w:cs="Calibri"/>
        </w:rPr>
      </w:pPr>
    </w:p>
    <w:p w14:paraId="3150DA50" w14:textId="77777777" w:rsidR="001141CE" w:rsidRPr="001141CE" w:rsidRDefault="001141CE" w:rsidP="001141CE">
      <w:pPr>
        <w:rPr>
          <w:rFonts w:ascii="Calibri" w:hAnsi="Calibri" w:cs="Calibri"/>
          <w:u w:val="single"/>
        </w:rPr>
      </w:pPr>
      <w:r w:rsidRPr="001141CE">
        <w:rPr>
          <w:rFonts w:ascii="Calibri" w:hAnsi="Calibri" w:cs="Calibri"/>
          <w:u w:val="single"/>
        </w:rPr>
        <w:t>Para el cálculo del presupuesto base de licitación y de acuerdo con lo dispuesto en el artículo 100 de la LCSP, se han tenido en cuenta lo siguiente:</w:t>
      </w:r>
    </w:p>
    <w:p w14:paraId="05D3F679" w14:textId="77777777" w:rsidR="001141CE" w:rsidRPr="001141CE" w:rsidRDefault="001141CE" w:rsidP="001141CE">
      <w:pPr>
        <w:rPr>
          <w:rFonts w:ascii="Calibri" w:hAnsi="Calibri" w:cs="Calibri"/>
          <w:b/>
          <w:bCs/>
        </w:rPr>
      </w:pPr>
    </w:p>
    <w:p w14:paraId="0A725ABC" w14:textId="1C4B7E06" w:rsidR="001141CE" w:rsidRDefault="001141CE" w:rsidP="001141CE">
      <w:pPr>
        <w:pStyle w:val="Prrafodelista"/>
        <w:numPr>
          <w:ilvl w:val="0"/>
          <w:numId w:val="4"/>
        </w:numPr>
        <w:rPr>
          <w:rFonts w:ascii="Calibri" w:hAnsi="Calibri" w:cs="Calibri"/>
        </w:rPr>
      </w:pPr>
      <w:r w:rsidRPr="001141CE">
        <w:rPr>
          <w:rFonts w:ascii="Calibri" w:hAnsi="Calibri" w:cs="Calibri"/>
          <w:b/>
          <w:bCs/>
        </w:rPr>
        <w:t>El contrato precedente.</w:t>
      </w:r>
      <w:r w:rsidRPr="001141CE">
        <w:rPr>
          <w:rFonts w:ascii="Calibri" w:hAnsi="Calibri" w:cs="Calibri"/>
        </w:rPr>
        <w:t xml:space="preserve"> La experiencia obtenida por FREMAP a partir de la anterior licitación fue ajustada a las necesidades previstas, por lo que no resulta necesaria una variación importante respecto a dichos valores. </w:t>
      </w:r>
      <w:r w:rsidR="00D807EC">
        <w:rPr>
          <w:rFonts w:ascii="Calibri" w:hAnsi="Calibri" w:cs="Calibri"/>
        </w:rPr>
        <w:t xml:space="preserve">Se </w:t>
      </w:r>
      <w:r w:rsidR="00AE475B">
        <w:rPr>
          <w:rFonts w:ascii="Calibri" w:hAnsi="Calibri" w:cs="Calibri"/>
        </w:rPr>
        <w:t xml:space="preserve">ha estimado el número de actuaciones para los 36 meses del contrario a partir </w:t>
      </w:r>
      <w:r w:rsidR="00A46F01">
        <w:rPr>
          <w:rFonts w:ascii="Calibri" w:hAnsi="Calibri" w:cs="Calibri"/>
        </w:rPr>
        <w:t xml:space="preserve">de las actividades llevadas a cabo en los últimos años en </w:t>
      </w:r>
      <w:r w:rsidR="00FB5A62">
        <w:rPr>
          <w:rFonts w:ascii="Calibri" w:hAnsi="Calibri" w:cs="Calibri"/>
        </w:rPr>
        <w:t>la</w:t>
      </w:r>
      <w:r w:rsidR="00DD0E49">
        <w:rPr>
          <w:rFonts w:ascii="Calibri" w:hAnsi="Calibri" w:cs="Calibri"/>
        </w:rPr>
        <w:t xml:space="preserve"> localidad</w:t>
      </w:r>
      <w:r w:rsidR="00FB5A62">
        <w:rPr>
          <w:rFonts w:ascii="Calibri" w:hAnsi="Calibri" w:cs="Calibri"/>
        </w:rPr>
        <w:t xml:space="preserve"> objeto de licitación.</w:t>
      </w:r>
      <w:r w:rsidR="00B16C69">
        <w:rPr>
          <w:rFonts w:ascii="Calibri" w:hAnsi="Calibri" w:cs="Calibri"/>
        </w:rPr>
        <w:t xml:space="preserve"> </w:t>
      </w:r>
      <w:r w:rsidR="008F0259">
        <w:rPr>
          <w:rFonts w:ascii="Calibri" w:hAnsi="Calibri" w:cs="Calibri"/>
        </w:rPr>
        <w:t>La baja temporal del abogado interno de FREMAP que cubría parte de estas actividades ha supuesto un aumento de las actividades estimadas a desarrollar por el licitador.</w:t>
      </w:r>
    </w:p>
    <w:p w14:paraId="529430DD" w14:textId="77777777" w:rsidR="001141CE" w:rsidRDefault="001141CE" w:rsidP="001141CE">
      <w:pPr>
        <w:pStyle w:val="Prrafodelista"/>
        <w:rPr>
          <w:rFonts w:ascii="Calibri" w:hAnsi="Calibri" w:cs="Calibri"/>
        </w:rPr>
      </w:pPr>
    </w:p>
    <w:p w14:paraId="32191AAC" w14:textId="77777777" w:rsidR="00A77230" w:rsidRDefault="00A77230" w:rsidP="00A77230">
      <w:pPr>
        <w:pStyle w:val="Prrafodelista"/>
        <w:numPr>
          <w:ilvl w:val="0"/>
          <w:numId w:val="4"/>
        </w:numPr>
        <w:rPr>
          <w:rFonts w:ascii="Calibri" w:hAnsi="Calibri" w:cs="Calibri"/>
        </w:rPr>
      </w:pPr>
      <w:r w:rsidRPr="001141CE">
        <w:rPr>
          <w:rFonts w:ascii="Calibri" w:hAnsi="Calibri" w:cs="Calibri"/>
          <w:b/>
          <w:bCs/>
        </w:rPr>
        <w:t xml:space="preserve">Criterios de honorarios establecidos por </w:t>
      </w:r>
      <w:r>
        <w:rPr>
          <w:rFonts w:ascii="Calibri" w:hAnsi="Calibri" w:cs="Calibri"/>
          <w:b/>
          <w:bCs/>
        </w:rPr>
        <w:t>los</w:t>
      </w:r>
      <w:r w:rsidRPr="001141CE">
        <w:rPr>
          <w:rFonts w:ascii="Calibri" w:hAnsi="Calibri" w:cs="Calibri"/>
          <w:b/>
          <w:bCs/>
        </w:rPr>
        <w:t xml:space="preserve"> Ilustre</w:t>
      </w:r>
      <w:r>
        <w:rPr>
          <w:rFonts w:ascii="Calibri" w:hAnsi="Calibri" w:cs="Calibri"/>
          <w:b/>
          <w:bCs/>
        </w:rPr>
        <w:t>s</w:t>
      </w:r>
      <w:r w:rsidRPr="001141CE">
        <w:rPr>
          <w:rFonts w:ascii="Calibri" w:hAnsi="Calibri" w:cs="Calibri"/>
          <w:b/>
          <w:bCs/>
        </w:rPr>
        <w:t xml:space="preserve"> Colegio</w:t>
      </w:r>
      <w:r>
        <w:rPr>
          <w:rFonts w:ascii="Calibri" w:hAnsi="Calibri" w:cs="Calibri"/>
          <w:b/>
          <w:bCs/>
        </w:rPr>
        <w:t>s</w:t>
      </w:r>
      <w:r w:rsidRPr="001141CE">
        <w:rPr>
          <w:rFonts w:ascii="Calibri" w:hAnsi="Calibri" w:cs="Calibri"/>
          <w:b/>
          <w:bCs/>
        </w:rPr>
        <w:t xml:space="preserve"> de Abogado</w:t>
      </w:r>
      <w:r>
        <w:rPr>
          <w:rFonts w:ascii="Calibri" w:hAnsi="Calibri" w:cs="Calibri"/>
          <w:b/>
          <w:bCs/>
        </w:rPr>
        <w:t>s</w:t>
      </w:r>
      <w:r w:rsidRPr="001141CE">
        <w:rPr>
          <w:rFonts w:ascii="Calibri" w:hAnsi="Calibri" w:cs="Calibri"/>
          <w:b/>
          <w:bCs/>
        </w:rPr>
        <w:t>.</w:t>
      </w:r>
      <w:r w:rsidRPr="001141CE">
        <w:rPr>
          <w:rFonts w:ascii="Calibri" w:hAnsi="Calibri" w:cs="Calibri"/>
        </w:rPr>
        <w:t xml:space="preserve"> Según la litigiosidad de experimentada por FREMAP durante los últimos ejercicios, se han aplicado los criterios de honorarios profesionales a las diferentes categorías a las que se pretende dar servicio mediante la presente licitación. De esta forma, se han incrementado ciertos valores respecto a la oferta económica anterior. </w:t>
      </w:r>
    </w:p>
    <w:p w14:paraId="0821140D" w14:textId="77777777" w:rsidR="00A77230" w:rsidRDefault="00A77230" w:rsidP="00A77230">
      <w:pPr>
        <w:pStyle w:val="Prrafodelista"/>
        <w:rPr>
          <w:rFonts w:ascii="Calibri" w:hAnsi="Calibri" w:cs="Calibri"/>
        </w:rPr>
      </w:pPr>
    </w:p>
    <w:p w14:paraId="780AE8D9" w14:textId="77777777" w:rsidR="00A77230" w:rsidRPr="001141CE" w:rsidRDefault="00A77230" w:rsidP="00A77230">
      <w:pPr>
        <w:pStyle w:val="Prrafodelista"/>
        <w:numPr>
          <w:ilvl w:val="0"/>
          <w:numId w:val="4"/>
        </w:numPr>
        <w:rPr>
          <w:rFonts w:ascii="Calibri" w:hAnsi="Calibri" w:cs="Calibri"/>
        </w:rPr>
      </w:pPr>
      <w:r w:rsidRPr="001141CE">
        <w:rPr>
          <w:rFonts w:ascii="Calibri" w:hAnsi="Calibri" w:cs="Calibri"/>
          <w:b/>
          <w:bCs/>
        </w:rPr>
        <w:lastRenderedPageBreak/>
        <w:t>Precios de mercado</w:t>
      </w:r>
      <w:r w:rsidRPr="001141CE">
        <w:rPr>
          <w:rFonts w:ascii="Calibri" w:hAnsi="Calibri" w:cs="Calibri"/>
        </w:rPr>
        <w:t>. En este sentido, se han analizado los expedientes de licitación publicados por otras empresas del sector público que guardan relación con la actividad, volumen de negocio y con semejanza de actividades a las que dar servicio de asesoramiento y de representación y defensa en juicio.</w:t>
      </w:r>
    </w:p>
    <w:p w14:paraId="5DFE9992" w14:textId="77777777" w:rsidR="00B8296C" w:rsidRPr="00B8296C" w:rsidRDefault="00B8296C" w:rsidP="00B8296C">
      <w:pPr>
        <w:rPr>
          <w:rFonts w:ascii="Calibri" w:hAnsi="Calibri" w:cs="Calibri"/>
        </w:rPr>
      </w:pPr>
    </w:p>
    <w:p w14:paraId="112A5559" w14:textId="77777777" w:rsidR="002F15C0" w:rsidRDefault="002F15C0" w:rsidP="002F15C0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>Para el computo de lotes, en euros e impuesto/s indirecto/s no incluido/s:</w:t>
      </w:r>
    </w:p>
    <w:p w14:paraId="77FC4736" w14:textId="77777777" w:rsidR="00862248" w:rsidRPr="002F15C0" w:rsidRDefault="00862248" w:rsidP="002F15C0">
      <w:pPr>
        <w:rPr>
          <w:rFonts w:ascii="Calibri" w:hAnsi="Calibri" w:cs="Calibri"/>
        </w:rPr>
      </w:pPr>
    </w:p>
    <w:p w14:paraId="5C614118" w14:textId="50D2448F" w:rsidR="00777285" w:rsidRPr="002F15C0" w:rsidRDefault="00777285" w:rsidP="00777285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 xml:space="preserve">- Importe anual: </w:t>
      </w:r>
      <w:r w:rsidR="005E1E0D">
        <w:rPr>
          <w:rFonts w:ascii="Calibri" w:hAnsi="Calibri" w:cs="Calibri"/>
        </w:rPr>
        <w:t>23.330</w:t>
      </w:r>
      <w:r w:rsidR="00FF6531">
        <w:rPr>
          <w:rFonts w:ascii="Calibri" w:hAnsi="Calibri" w:cs="Calibri"/>
        </w:rPr>
        <w:t>,00</w:t>
      </w:r>
      <w:r w:rsidRPr="002F15C0">
        <w:rPr>
          <w:rFonts w:ascii="Calibri" w:hAnsi="Calibri" w:cs="Calibri"/>
        </w:rPr>
        <w:t>€</w:t>
      </w:r>
    </w:p>
    <w:p w14:paraId="1A0B2EE1" w14:textId="1A781A48" w:rsidR="00777285" w:rsidRPr="002F15C0" w:rsidRDefault="00777285" w:rsidP="00777285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>- Importe duración inicial (</w:t>
      </w:r>
      <w:r>
        <w:rPr>
          <w:rFonts w:ascii="Calibri" w:hAnsi="Calibri" w:cs="Calibri"/>
        </w:rPr>
        <w:t>36</w:t>
      </w:r>
      <w:r w:rsidRPr="002F15C0">
        <w:rPr>
          <w:rFonts w:ascii="Calibri" w:hAnsi="Calibri" w:cs="Calibri"/>
        </w:rPr>
        <w:t xml:space="preserve"> meses): </w:t>
      </w:r>
      <w:r w:rsidR="00FF6531">
        <w:rPr>
          <w:rFonts w:ascii="Calibri" w:hAnsi="Calibri" w:cs="Calibri"/>
        </w:rPr>
        <w:t>69</w:t>
      </w:r>
      <w:r w:rsidR="005E1E0D">
        <w:rPr>
          <w:rFonts w:ascii="Calibri" w:hAnsi="Calibri" w:cs="Calibri"/>
        </w:rPr>
        <w:t>.990</w:t>
      </w:r>
      <w:r w:rsidRPr="002F15C0">
        <w:rPr>
          <w:rFonts w:ascii="Calibri" w:hAnsi="Calibri" w:cs="Calibri"/>
        </w:rPr>
        <w:t>,0</w:t>
      </w:r>
      <w:r>
        <w:rPr>
          <w:rFonts w:ascii="Calibri" w:hAnsi="Calibri" w:cs="Calibri"/>
        </w:rPr>
        <w:t>0</w:t>
      </w:r>
      <w:r w:rsidRPr="002F15C0">
        <w:rPr>
          <w:rFonts w:ascii="Calibri" w:hAnsi="Calibri" w:cs="Calibri"/>
        </w:rPr>
        <w:t>€</w:t>
      </w:r>
    </w:p>
    <w:p w14:paraId="3A123C90" w14:textId="50B46835" w:rsidR="00777285" w:rsidRPr="002F15C0" w:rsidRDefault="00777285" w:rsidP="00777285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 xml:space="preserve">- Importe prórroga (24 meses): </w:t>
      </w:r>
      <w:r w:rsidR="003F28B3">
        <w:rPr>
          <w:rFonts w:ascii="Calibri" w:hAnsi="Calibri" w:cs="Calibri"/>
        </w:rPr>
        <w:t>46</w:t>
      </w:r>
      <w:r w:rsidR="005E1E0D">
        <w:rPr>
          <w:rFonts w:ascii="Calibri" w:hAnsi="Calibri" w:cs="Calibri"/>
        </w:rPr>
        <w:t>.660,00</w:t>
      </w:r>
      <w:r w:rsidRPr="002F15C0">
        <w:rPr>
          <w:rFonts w:ascii="Calibri" w:hAnsi="Calibri" w:cs="Calibri"/>
        </w:rPr>
        <w:t>€</w:t>
      </w:r>
    </w:p>
    <w:p w14:paraId="68AA3D72" w14:textId="7F458F29" w:rsidR="00777285" w:rsidRPr="002F15C0" w:rsidRDefault="00777285" w:rsidP="00777285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 xml:space="preserve">- Importe modificaciones previstas 20%: </w:t>
      </w:r>
      <w:r w:rsidR="00CA7AE7">
        <w:rPr>
          <w:rFonts w:ascii="Calibri" w:hAnsi="Calibri" w:cs="Calibri"/>
        </w:rPr>
        <w:t>13.998</w:t>
      </w:r>
      <w:r w:rsidRPr="002F15C0">
        <w:rPr>
          <w:rFonts w:ascii="Calibri" w:hAnsi="Calibri" w:cs="Calibri"/>
        </w:rPr>
        <w:t>,</w:t>
      </w:r>
      <w:r>
        <w:rPr>
          <w:rFonts w:ascii="Calibri" w:hAnsi="Calibri" w:cs="Calibri"/>
        </w:rPr>
        <w:t>00</w:t>
      </w:r>
      <w:r w:rsidRPr="002F15C0">
        <w:rPr>
          <w:rFonts w:ascii="Calibri" w:hAnsi="Calibri" w:cs="Calibri"/>
        </w:rPr>
        <w:t>€</w:t>
      </w:r>
    </w:p>
    <w:p w14:paraId="66043626" w14:textId="693DA83A" w:rsidR="00777285" w:rsidRDefault="00777285" w:rsidP="00777285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 xml:space="preserve">- Importe valor estimado: </w:t>
      </w:r>
      <w:r w:rsidR="00EA6223">
        <w:rPr>
          <w:rFonts w:ascii="Calibri" w:hAnsi="Calibri" w:cs="Calibri"/>
        </w:rPr>
        <w:t>1</w:t>
      </w:r>
      <w:r w:rsidR="00CA7AE7">
        <w:rPr>
          <w:rFonts w:ascii="Calibri" w:hAnsi="Calibri" w:cs="Calibri"/>
        </w:rPr>
        <w:t>30.648,00</w:t>
      </w:r>
      <w:r w:rsidRPr="002F15C0">
        <w:rPr>
          <w:rFonts w:ascii="Calibri" w:hAnsi="Calibri" w:cs="Calibri"/>
        </w:rPr>
        <w:t>€</w:t>
      </w:r>
    </w:p>
    <w:p w14:paraId="4E5C065F" w14:textId="77777777" w:rsidR="002F15C0" w:rsidRPr="002F15C0" w:rsidRDefault="002F15C0" w:rsidP="002F15C0">
      <w:pPr>
        <w:rPr>
          <w:rFonts w:ascii="Calibri" w:hAnsi="Calibri" w:cs="Calibri"/>
        </w:rPr>
      </w:pPr>
    </w:p>
    <w:p w14:paraId="7DF5D5C4" w14:textId="77777777" w:rsidR="002F15C0" w:rsidRDefault="002F15C0" w:rsidP="002F15C0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>Se incluye un modificado previsto del 20% del precio inicial, estas modificaciones se contemplarán tanto al alza como a la baja por los siguientes motivos:</w:t>
      </w:r>
    </w:p>
    <w:p w14:paraId="69BBC42D" w14:textId="77777777" w:rsidR="002F15C0" w:rsidRPr="002F15C0" w:rsidRDefault="002F15C0" w:rsidP="002F15C0">
      <w:pPr>
        <w:rPr>
          <w:rFonts w:ascii="Calibri" w:hAnsi="Calibri" w:cs="Calibri"/>
        </w:rPr>
      </w:pPr>
    </w:p>
    <w:p w14:paraId="3754BDE2" w14:textId="77777777" w:rsidR="002F15C0" w:rsidRDefault="002F15C0" w:rsidP="002F15C0">
      <w:pPr>
        <w:pStyle w:val="Prrafodelista"/>
        <w:numPr>
          <w:ilvl w:val="0"/>
          <w:numId w:val="2"/>
        </w:numPr>
        <w:rPr>
          <w:rFonts w:ascii="Calibri" w:hAnsi="Calibri" w:cs="Calibri"/>
        </w:rPr>
      </w:pPr>
      <w:r w:rsidRPr="002F15C0">
        <w:rPr>
          <w:rFonts w:ascii="Calibri" w:hAnsi="Calibri" w:cs="Calibri"/>
        </w:rPr>
        <w:t xml:space="preserve">Aumento/reducción del </w:t>
      </w:r>
      <w:proofErr w:type="spellStart"/>
      <w:r w:rsidRPr="002F15C0">
        <w:rPr>
          <w:rFonts w:ascii="Calibri" w:hAnsi="Calibri" w:cs="Calibri"/>
        </w:rPr>
        <w:t>nº</w:t>
      </w:r>
      <w:proofErr w:type="spellEnd"/>
      <w:r w:rsidRPr="002F15C0">
        <w:rPr>
          <w:rFonts w:ascii="Calibri" w:hAnsi="Calibri" w:cs="Calibri"/>
        </w:rPr>
        <w:t xml:space="preserve"> de procedimientos judiciales </w:t>
      </w:r>
      <w:proofErr w:type="gramStart"/>
      <w:r w:rsidRPr="002F15C0">
        <w:rPr>
          <w:rFonts w:ascii="Calibri" w:hAnsi="Calibri" w:cs="Calibri"/>
        </w:rPr>
        <w:t>de acuerdo a</w:t>
      </w:r>
      <w:proofErr w:type="gramEnd"/>
      <w:r w:rsidRPr="002F15C0">
        <w:rPr>
          <w:rFonts w:ascii="Calibri" w:hAnsi="Calibri" w:cs="Calibri"/>
        </w:rPr>
        <w:t xml:space="preserve"> los índices de litigiosidad del año anterior al que se produzca la modificación.</w:t>
      </w:r>
    </w:p>
    <w:p w14:paraId="6EA40C60" w14:textId="77777777" w:rsidR="002F15C0" w:rsidRDefault="002F15C0" w:rsidP="002F15C0">
      <w:pPr>
        <w:pStyle w:val="Prrafodelista"/>
        <w:rPr>
          <w:rFonts w:ascii="Calibri" w:hAnsi="Calibri" w:cs="Calibri"/>
        </w:rPr>
      </w:pPr>
    </w:p>
    <w:p w14:paraId="14878C46" w14:textId="77777777" w:rsidR="002F15C0" w:rsidRDefault="002F15C0" w:rsidP="002F15C0">
      <w:pPr>
        <w:pStyle w:val="Prrafodelista"/>
        <w:numPr>
          <w:ilvl w:val="0"/>
          <w:numId w:val="2"/>
        </w:numPr>
        <w:rPr>
          <w:rFonts w:ascii="Calibri" w:hAnsi="Calibri" w:cs="Calibri"/>
        </w:rPr>
      </w:pPr>
      <w:r w:rsidRPr="002F15C0">
        <w:rPr>
          <w:rFonts w:ascii="Calibri" w:hAnsi="Calibri" w:cs="Calibri"/>
        </w:rPr>
        <w:t>Baja o cese de abogados internos actuales en plantilla.</w:t>
      </w:r>
    </w:p>
    <w:p w14:paraId="0845B4CD" w14:textId="77777777" w:rsidR="002F15C0" w:rsidRDefault="002F15C0" w:rsidP="002F15C0">
      <w:pPr>
        <w:pStyle w:val="Prrafodelista"/>
        <w:rPr>
          <w:rFonts w:ascii="Calibri" w:hAnsi="Calibri" w:cs="Calibri"/>
        </w:rPr>
      </w:pPr>
    </w:p>
    <w:p w14:paraId="2410CC50" w14:textId="3F094D5B" w:rsidR="006C0937" w:rsidRDefault="002F15C0" w:rsidP="006C0937">
      <w:pPr>
        <w:pStyle w:val="Prrafodelista"/>
        <w:numPr>
          <w:ilvl w:val="0"/>
          <w:numId w:val="2"/>
        </w:numPr>
        <w:rPr>
          <w:rFonts w:ascii="Calibri" w:hAnsi="Calibri" w:cs="Calibri"/>
        </w:rPr>
      </w:pPr>
      <w:r w:rsidRPr="002F15C0">
        <w:rPr>
          <w:rFonts w:ascii="Calibri" w:hAnsi="Calibri" w:cs="Calibri"/>
        </w:rPr>
        <w:t>Modificaciones legales que supongan un incremento/disminución de procedimientos judiciales de prestaciones a asumir por FREMAP.</w:t>
      </w:r>
    </w:p>
    <w:p w14:paraId="31A786DE" w14:textId="44C9E581" w:rsidR="006C0937" w:rsidRDefault="006C0937" w:rsidP="006C0937">
      <w:pPr>
        <w:pStyle w:val="Prrafodelista"/>
        <w:rPr>
          <w:rFonts w:ascii="Calibri" w:hAnsi="Calibri" w:cs="Calibri"/>
        </w:rPr>
      </w:pPr>
    </w:p>
    <w:p w14:paraId="3B72F911" w14:textId="78649EC1" w:rsidR="006C0937" w:rsidRPr="002C509D" w:rsidRDefault="00353FA2" w:rsidP="006C0937">
      <w:pPr>
        <w:pStyle w:val="Prrafodelista"/>
        <w:numPr>
          <w:ilvl w:val="0"/>
          <w:numId w:val="2"/>
        </w:numPr>
        <w:rPr>
          <w:rFonts w:ascii="Calibri" w:hAnsi="Calibri" w:cs="Calibri"/>
        </w:rPr>
      </w:pPr>
      <w:r w:rsidRPr="002C509D">
        <w:rPr>
          <w:rFonts w:ascii="Calibri" w:hAnsi="Calibri" w:cs="Calibri"/>
        </w:rPr>
        <w:t xml:space="preserve">Actuaciones derivadas de procesos judiciales anteriores </w:t>
      </w:r>
      <w:r w:rsidR="00502B09" w:rsidRPr="002C509D">
        <w:rPr>
          <w:rFonts w:ascii="Calibri" w:hAnsi="Calibri" w:cs="Calibri"/>
        </w:rPr>
        <w:t>que no se hayan finalizado aún</w:t>
      </w:r>
      <w:r w:rsidR="00161B41" w:rsidRPr="002C509D">
        <w:rPr>
          <w:rFonts w:ascii="Calibri" w:hAnsi="Calibri" w:cs="Calibri"/>
        </w:rPr>
        <w:t xml:space="preserve"> </w:t>
      </w:r>
      <w:r w:rsidR="00042450" w:rsidRPr="002C509D">
        <w:rPr>
          <w:rFonts w:ascii="Calibri" w:hAnsi="Calibri" w:cs="Calibri"/>
        </w:rPr>
        <w:t>en el momento de entrada en vigor del contrato</w:t>
      </w:r>
      <w:r w:rsidR="003806FA">
        <w:rPr>
          <w:rFonts w:ascii="Calibri" w:hAnsi="Calibri" w:cs="Calibri"/>
        </w:rPr>
        <w:t xml:space="preserve">, en caso de resultar adjudicatario el mismo que </w:t>
      </w:r>
      <w:r w:rsidR="00F81426">
        <w:rPr>
          <w:rFonts w:ascii="Calibri" w:hAnsi="Calibri" w:cs="Calibri"/>
        </w:rPr>
        <w:t>el contrato anterior.</w:t>
      </w:r>
    </w:p>
    <w:p w14:paraId="2E7CD7AC" w14:textId="77777777" w:rsidR="002F15C0" w:rsidRPr="002F15C0" w:rsidRDefault="002F15C0" w:rsidP="002F15C0">
      <w:pPr>
        <w:pStyle w:val="Prrafodelista"/>
        <w:rPr>
          <w:rFonts w:ascii="Calibri" w:hAnsi="Calibri" w:cs="Calibri"/>
        </w:rPr>
      </w:pPr>
    </w:p>
    <w:p w14:paraId="28386008" w14:textId="77777777" w:rsidR="002F15C0" w:rsidRDefault="002F15C0" w:rsidP="002F15C0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>Para el cálculo del Valor Estimado del expediente se ha tenido en cuenta, a efectos de modificaciones previstas, un porcentaje máximo calculado sobre el presupuesto para la duración inicial, si bien en fase de ejecución del importe correspondiente a las modificaciones previstas el porcentaje máximo se calculará sobre el precio inicial del contrato, esto es sobre el importe de adjudicación.</w:t>
      </w:r>
    </w:p>
    <w:p w14:paraId="45A74796" w14:textId="77777777" w:rsidR="002F15C0" w:rsidRPr="002F15C0" w:rsidRDefault="002F15C0" w:rsidP="002F15C0">
      <w:pPr>
        <w:rPr>
          <w:rFonts w:ascii="Calibri" w:hAnsi="Calibri" w:cs="Calibri"/>
        </w:rPr>
      </w:pPr>
    </w:p>
    <w:p w14:paraId="5AD13064" w14:textId="15C8E4BB" w:rsidR="002F15C0" w:rsidRPr="002F15C0" w:rsidRDefault="002F15C0" w:rsidP="002F15C0">
      <w:pPr>
        <w:rPr>
          <w:rFonts w:ascii="Calibri" w:hAnsi="Calibri" w:cs="Calibri"/>
        </w:rPr>
      </w:pPr>
      <w:r w:rsidRPr="002F15C0">
        <w:rPr>
          <w:rFonts w:ascii="Calibri" w:hAnsi="Calibri" w:cs="Calibri"/>
        </w:rPr>
        <w:t>Si se diera un supuesto de los especificados y tuviera que realizarse un modificado, se comunicará al adjudicatario formalmente los motivos que lo han derivado y el importe del modificado. Asimismo, se firmará un anexo de novación modificativa al contrato existente entre FREMAP y el adjudicatario.</w:t>
      </w:r>
    </w:p>
    <w:sectPr w:rsidR="002F15C0" w:rsidRPr="002F15C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B628B" w14:textId="77777777" w:rsidR="001E0292" w:rsidRDefault="001E0292" w:rsidP="002F15C0">
      <w:r>
        <w:separator/>
      </w:r>
    </w:p>
  </w:endnote>
  <w:endnote w:type="continuationSeparator" w:id="0">
    <w:p w14:paraId="1321796D" w14:textId="77777777" w:rsidR="001E0292" w:rsidRDefault="001E0292" w:rsidP="002F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B747D" w14:textId="77777777" w:rsidR="001E0292" w:rsidRDefault="001E0292" w:rsidP="002F15C0">
      <w:r>
        <w:separator/>
      </w:r>
    </w:p>
  </w:footnote>
  <w:footnote w:type="continuationSeparator" w:id="0">
    <w:p w14:paraId="753F42F2" w14:textId="77777777" w:rsidR="001E0292" w:rsidRDefault="001E0292" w:rsidP="002F1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87AC" w14:textId="0CDB86C2" w:rsidR="002F15C0" w:rsidRPr="009B3B69" w:rsidRDefault="002F15C0" w:rsidP="002F15C0">
    <w:pPr>
      <w:ind w:left="708"/>
      <w:jc w:val="center"/>
      <w:rPr>
        <w:rFonts w:ascii="Calibri" w:hAnsi="Calibri"/>
        <w:sz w:val="16"/>
        <w:szCs w:val="16"/>
      </w:rPr>
    </w:pPr>
    <w:r w:rsidRPr="00BB0016">
      <w:rPr>
        <w:rFonts w:ascii="Calibri" w:hAnsi="Calibri" w:cs="Calibri"/>
        <w:i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5F77F435" wp14:editId="2AB08B65">
          <wp:simplePos x="0" y="0"/>
          <wp:positionH relativeFrom="column">
            <wp:posOffset>-763469</wp:posOffset>
          </wp:positionH>
          <wp:positionV relativeFrom="paragraph">
            <wp:posOffset>-170976</wp:posOffset>
          </wp:positionV>
          <wp:extent cx="581025" cy="371475"/>
          <wp:effectExtent l="0" t="0" r="9525" b="9525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04AE">
      <w:rPr>
        <w:rFonts w:ascii="Calibri" w:hAnsi="Calibri" w:cs="Calibri"/>
        <w:i/>
        <w:sz w:val="16"/>
        <w:szCs w:val="16"/>
      </w:rPr>
      <w:pict w14:anchorId="1D79A9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071345" o:spid="_x0000_s1026" type="#_x0000_t75" style="position:absolute;left:0;text-align:left;margin-left:0;margin-top:0;width:475.85pt;height:432.85pt;z-index:-251658240;mso-position-horizontal:center;mso-position-horizontal-relative:margin;mso-position-vertical:center;mso-position-vertical-relative:margin" o:allowincell="f">
          <v:imagedata r:id="rId2" o:title="marca-agua-fremap" gain="19661f" blacklevel="22938f"/>
          <w10:wrap anchorx="margin" anchory="margin"/>
        </v:shape>
      </w:pict>
    </w:r>
    <w:r w:rsidR="00BB0016" w:rsidRPr="00BB0016">
      <w:rPr>
        <w:rFonts w:ascii="Calibri" w:hAnsi="Calibri" w:cs="Calibri"/>
        <w:i/>
        <w:sz w:val="16"/>
        <w:szCs w:val="16"/>
      </w:rPr>
      <w:t>LICT/99/145/2024/00</w:t>
    </w:r>
    <w:r w:rsidR="008804AE">
      <w:rPr>
        <w:rFonts w:ascii="Calibri" w:hAnsi="Calibri" w:cs="Calibri"/>
        <w:i/>
        <w:sz w:val="16"/>
        <w:szCs w:val="16"/>
      </w:rPr>
      <w:t>99</w:t>
    </w:r>
    <w:r w:rsidR="00BB0016">
      <w:rPr>
        <w:rFonts w:ascii="Calibri" w:hAnsi="Calibri" w:cs="Calibri"/>
        <w:i/>
        <w:sz w:val="16"/>
        <w:szCs w:val="16"/>
      </w:rPr>
      <w:t xml:space="preserve"> </w:t>
    </w:r>
    <w:r w:rsidRPr="005C3715">
      <w:rPr>
        <w:rFonts w:ascii="Calibri" w:hAnsi="Calibri" w:cs="Calibri"/>
        <w:i/>
        <w:sz w:val="16"/>
        <w:szCs w:val="16"/>
      </w:rPr>
      <w:t xml:space="preserve">- </w:t>
    </w:r>
    <w:r w:rsidR="00EF6017" w:rsidRPr="00EF6017">
      <w:rPr>
        <w:rFonts w:ascii="Calibri" w:hAnsi="Calibri" w:cs="Calibri"/>
        <w:i/>
        <w:sz w:val="16"/>
        <w:szCs w:val="16"/>
      </w:rPr>
      <w:t>Contratación del servicio de representación procesal y de defensa jurídica de aquellos procedimientos judiciales de prestaciones en que FREMAP, Mutua Colaboradora con la Seguridad Social nº61 sea parte en Ponferrada.</w:t>
    </w:r>
  </w:p>
  <w:p w14:paraId="51D45B85" w14:textId="29D729CA" w:rsidR="002F15C0" w:rsidRDefault="002F15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80FB6"/>
    <w:multiLevelType w:val="hybridMultilevel"/>
    <w:tmpl w:val="748A480A"/>
    <w:lvl w:ilvl="0" w:tplc="C0807E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D1A4E"/>
    <w:multiLevelType w:val="hybridMultilevel"/>
    <w:tmpl w:val="A04AAC18"/>
    <w:lvl w:ilvl="0" w:tplc="C0807E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66E7C"/>
    <w:multiLevelType w:val="hybridMultilevel"/>
    <w:tmpl w:val="F16C60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8497B"/>
    <w:multiLevelType w:val="hybridMultilevel"/>
    <w:tmpl w:val="4EBCEAFA"/>
    <w:lvl w:ilvl="0" w:tplc="C0807E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177372">
    <w:abstractNumId w:val="2"/>
  </w:num>
  <w:num w:numId="2" w16cid:durableId="1403406508">
    <w:abstractNumId w:val="0"/>
  </w:num>
  <w:num w:numId="3" w16cid:durableId="1216770560">
    <w:abstractNumId w:val="1"/>
  </w:num>
  <w:num w:numId="4" w16cid:durableId="127316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C0"/>
    <w:rsid w:val="00042450"/>
    <w:rsid w:val="000A434A"/>
    <w:rsid w:val="000A681F"/>
    <w:rsid w:val="000E676C"/>
    <w:rsid w:val="001141CE"/>
    <w:rsid w:val="00161B41"/>
    <w:rsid w:val="001815CD"/>
    <w:rsid w:val="00186834"/>
    <w:rsid w:val="001C30AD"/>
    <w:rsid w:val="001E0292"/>
    <w:rsid w:val="00240A02"/>
    <w:rsid w:val="002C509D"/>
    <w:rsid w:val="002F15C0"/>
    <w:rsid w:val="00353FA2"/>
    <w:rsid w:val="003806FA"/>
    <w:rsid w:val="003C250E"/>
    <w:rsid w:val="003F28B3"/>
    <w:rsid w:val="004B20C2"/>
    <w:rsid w:val="004E449E"/>
    <w:rsid w:val="004E52C4"/>
    <w:rsid w:val="00502B09"/>
    <w:rsid w:val="0051065F"/>
    <w:rsid w:val="00522F78"/>
    <w:rsid w:val="00540557"/>
    <w:rsid w:val="00541913"/>
    <w:rsid w:val="00562CB2"/>
    <w:rsid w:val="005E1E0D"/>
    <w:rsid w:val="005F29A4"/>
    <w:rsid w:val="00612449"/>
    <w:rsid w:val="0063792E"/>
    <w:rsid w:val="00675176"/>
    <w:rsid w:val="006C0937"/>
    <w:rsid w:val="006F0662"/>
    <w:rsid w:val="0074094B"/>
    <w:rsid w:val="00751388"/>
    <w:rsid w:val="00777285"/>
    <w:rsid w:val="0078382E"/>
    <w:rsid w:val="007E5602"/>
    <w:rsid w:val="00862248"/>
    <w:rsid w:val="008630CD"/>
    <w:rsid w:val="008760FE"/>
    <w:rsid w:val="008804AE"/>
    <w:rsid w:val="008E15AE"/>
    <w:rsid w:val="008E7F7E"/>
    <w:rsid w:val="008F0259"/>
    <w:rsid w:val="008F1412"/>
    <w:rsid w:val="008F48FD"/>
    <w:rsid w:val="008F58ED"/>
    <w:rsid w:val="00917C3C"/>
    <w:rsid w:val="00994535"/>
    <w:rsid w:val="009B7F70"/>
    <w:rsid w:val="00A34414"/>
    <w:rsid w:val="00A46F01"/>
    <w:rsid w:val="00A77230"/>
    <w:rsid w:val="00AB2F6F"/>
    <w:rsid w:val="00AE475B"/>
    <w:rsid w:val="00B16C69"/>
    <w:rsid w:val="00B8296C"/>
    <w:rsid w:val="00BB0016"/>
    <w:rsid w:val="00BB266D"/>
    <w:rsid w:val="00BB2773"/>
    <w:rsid w:val="00BC6C94"/>
    <w:rsid w:val="00C760E1"/>
    <w:rsid w:val="00CA7AE7"/>
    <w:rsid w:val="00CB059E"/>
    <w:rsid w:val="00D06BB6"/>
    <w:rsid w:val="00D13C1A"/>
    <w:rsid w:val="00D4516A"/>
    <w:rsid w:val="00D807EC"/>
    <w:rsid w:val="00D97A8E"/>
    <w:rsid w:val="00DB0C16"/>
    <w:rsid w:val="00DB4A78"/>
    <w:rsid w:val="00DD0E49"/>
    <w:rsid w:val="00E14C0C"/>
    <w:rsid w:val="00E209B7"/>
    <w:rsid w:val="00E73083"/>
    <w:rsid w:val="00EA6223"/>
    <w:rsid w:val="00EF1CF2"/>
    <w:rsid w:val="00EF2BEF"/>
    <w:rsid w:val="00EF4414"/>
    <w:rsid w:val="00EF6017"/>
    <w:rsid w:val="00F15254"/>
    <w:rsid w:val="00F55DEF"/>
    <w:rsid w:val="00F81426"/>
    <w:rsid w:val="00FB5A62"/>
    <w:rsid w:val="00FE2FC6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685E9"/>
  <w15:chartTrackingRefBased/>
  <w15:docId w15:val="{314627BF-9CF7-4333-B6E1-D83B7415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5C0"/>
    <w:pPr>
      <w:spacing w:after="0" w:line="240" w:lineRule="auto"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F15C0"/>
    <w:pPr>
      <w:overflowPunct w:val="0"/>
      <w:autoSpaceDE w:val="0"/>
      <w:autoSpaceDN w:val="0"/>
      <w:adjustRightInd w:val="0"/>
      <w:spacing w:before="240" w:after="240"/>
      <w:textAlignment w:val="baseline"/>
      <w:textboxTightWrap w:val="allLines"/>
      <w:outlineLvl w:val="0"/>
    </w:pPr>
    <w:rPr>
      <w:rFonts w:eastAsia="Times New Roman" w:cs="Arial"/>
      <w:b/>
      <w:sz w:val="28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15C0"/>
    <w:rPr>
      <w:rFonts w:ascii="Arial" w:eastAsia="Times New Roman" w:hAnsi="Arial" w:cs="Arial"/>
      <w:b/>
      <w:kern w:val="0"/>
      <w:sz w:val="28"/>
      <w:szCs w:val="24"/>
      <w:lang w:val="es-ES_tradnl" w:eastAsia="es-ES"/>
      <w14:ligatures w14:val="none"/>
    </w:rPr>
  </w:style>
  <w:style w:type="character" w:styleId="nfasisintenso">
    <w:name w:val="Intense Emphasis"/>
    <w:uiPriority w:val="21"/>
    <w:qFormat/>
    <w:rsid w:val="002F15C0"/>
    <w:rPr>
      <w:b/>
      <w:bCs/>
      <w:i/>
      <w:iCs/>
      <w:color w:val="4F81BD"/>
    </w:rPr>
  </w:style>
  <w:style w:type="paragraph" w:styleId="Encabezado">
    <w:name w:val="header"/>
    <w:basedOn w:val="Normal"/>
    <w:link w:val="EncabezadoCar"/>
    <w:uiPriority w:val="99"/>
    <w:unhideWhenUsed/>
    <w:rsid w:val="002F15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15C0"/>
    <w:rPr>
      <w:rFonts w:ascii="Arial" w:eastAsia="Calibri" w:hAnsi="Arial" w:cs="Times New Roman"/>
      <w:kern w:val="0"/>
      <w:sz w:val="24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F15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5C0"/>
    <w:rPr>
      <w:rFonts w:ascii="Arial" w:eastAsia="Calibri" w:hAnsi="Arial" w:cs="Times New Roman"/>
      <w:kern w:val="0"/>
      <w:sz w:val="24"/>
      <w14:ligatures w14:val="none"/>
    </w:rPr>
  </w:style>
  <w:style w:type="paragraph" w:styleId="Prrafodelista">
    <w:name w:val="List Paragraph"/>
    <w:basedOn w:val="Normal"/>
    <w:uiPriority w:val="34"/>
    <w:qFormat/>
    <w:rsid w:val="002F15C0"/>
    <w:pPr>
      <w:ind w:left="720"/>
      <w:contextualSpacing/>
    </w:pPr>
  </w:style>
  <w:style w:type="table" w:styleId="Tablaconcuadrcula">
    <w:name w:val="Table Grid"/>
    <w:basedOn w:val="Tablanormal"/>
    <w:uiPriority w:val="39"/>
    <w:rsid w:val="00EF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29E1-0F2F-4471-84F0-C6B8BCF1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660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Cabral Toro, Miguel</dc:creator>
  <cp:keywords/>
  <dc:description/>
  <cp:lastModifiedBy>Cabral Toro, Miguel</cp:lastModifiedBy>
  <cp:revision>83</cp:revision>
  <dcterms:created xsi:type="dcterms:W3CDTF">2024-02-27T10:20:00Z</dcterms:created>
  <dcterms:modified xsi:type="dcterms:W3CDTF">2024-09-20T12:51:00Z</dcterms:modified>
</cp:coreProperties>
</file>