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527" w:rsidRPr="00775EB8" w:rsidRDefault="004C5527" w:rsidP="004C5527">
      <w:pPr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775EB8">
        <w:rPr>
          <w:rFonts w:ascii="Arial Narrow" w:hAnsi="Arial Narrow"/>
          <w:b/>
          <w:sz w:val="28"/>
          <w:szCs w:val="28"/>
        </w:rPr>
        <w:t>ANEXO II</w:t>
      </w:r>
    </w:p>
    <w:p w:rsidR="004C5527" w:rsidRPr="00775EB8" w:rsidRDefault="004C5527" w:rsidP="004C5527">
      <w:pPr>
        <w:pStyle w:val="Ttulo2"/>
        <w:numPr>
          <w:ilvl w:val="0"/>
          <w:numId w:val="0"/>
        </w:numPr>
        <w:ind w:left="576" w:hanging="576"/>
        <w:rPr>
          <w:rFonts w:ascii="Arial Narrow" w:hAnsi="Arial Narrow"/>
          <w:sz w:val="28"/>
          <w:szCs w:val="28"/>
          <w:lang w:val="es-ES_tradnl"/>
        </w:rPr>
      </w:pPr>
    </w:p>
    <w:p w:rsidR="004C5527" w:rsidRPr="00775EB8" w:rsidRDefault="004C5527" w:rsidP="004C5527">
      <w:pPr>
        <w:pStyle w:val="Ttulo2"/>
        <w:numPr>
          <w:ilvl w:val="0"/>
          <w:numId w:val="0"/>
        </w:numPr>
        <w:ind w:left="576" w:hanging="576"/>
        <w:jc w:val="center"/>
        <w:rPr>
          <w:rFonts w:ascii="Arial Narrow" w:hAnsi="Arial Narrow"/>
          <w:sz w:val="28"/>
          <w:szCs w:val="28"/>
          <w:lang w:val="es-ES_tradnl"/>
        </w:rPr>
      </w:pPr>
      <w:r w:rsidRPr="00775EB8">
        <w:rPr>
          <w:rFonts w:ascii="Arial Narrow" w:hAnsi="Arial Narrow"/>
          <w:sz w:val="28"/>
          <w:szCs w:val="28"/>
          <w:lang w:val="es-ES_tradnl"/>
        </w:rPr>
        <w:t>REQUISITOS SOBRE REUTILIZACIÓN DE LA INFORMACIÓN PÚBLICA</w:t>
      </w:r>
    </w:p>
    <w:p w:rsidR="004C5527" w:rsidRPr="00775EB8" w:rsidRDefault="004C5527" w:rsidP="004C5527">
      <w:pPr>
        <w:pStyle w:val="Ttulo2"/>
        <w:numPr>
          <w:ilvl w:val="0"/>
          <w:numId w:val="0"/>
        </w:numPr>
        <w:ind w:left="576" w:hanging="576"/>
        <w:rPr>
          <w:rFonts w:ascii="Arial Narrow" w:hAnsi="Arial Narrow"/>
          <w:sz w:val="28"/>
          <w:szCs w:val="28"/>
          <w:lang w:val="es-ES_tradnl"/>
        </w:rPr>
      </w:pPr>
    </w:p>
    <w:p w:rsidR="004C5527" w:rsidRPr="00775EB8" w:rsidRDefault="004C5527" w:rsidP="004C5527">
      <w:pPr>
        <w:jc w:val="both"/>
        <w:rPr>
          <w:rFonts w:ascii="Arial Narrow" w:hAnsi="Arial Narrow" w:cs="Arial"/>
          <w:sz w:val="24"/>
          <w:szCs w:val="28"/>
          <w:lang w:val="es-ES_tradnl"/>
        </w:rPr>
      </w:pPr>
      <w:r w:rsidRPr="00775EB8">
        <w:rPr>
          <w:rFonts w:ascii="Arial Narrow" w:hAnsi="Arial Narrow" w:cs="Arial"/>
          <w:sz w:val="24"/>
          <w:szCs w:val="28"/>
        </w:rPr>
        <w:t>(Conforme a lo establecido en el Real Decreto 1495/2011, de 24 de octubre, por el que se desarrolla la Ley 37/2007, de 16 de noviembre, sobre reutilización de la información del sector público, para el ámbito del sector público estatal</w:t>
      </w:r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 y a la </w:t>
      </w:r>
      <w:hyperlink r:id="rId7" w:tgtFrame="_blank" w:tooltip="Ley 18/2015, de 9 de julio, por la que se modifica la Ley 37/2007, de 16 de noviembre, sobre reutilización de la información del sector público (Abre en nueva ventana)" w:history="1">
        <w:r w:rsidRPr="00775EB8">
          <w:rPr>
            <w:rStyle w:val="Hipervnculo"/>
            <w:rFonts w:ascii="Arial Narrow" w:hAnsi="Arial Narrow" w:cs="Arial"/>
            <w:sz w:val="24"/>
            <w:szCs w:val="28"/>
          </w:rPr>
          <w:t>Ley 18/2015, de 9 de julio, por la que se modifica la Ley 37/2007, de 16 de noviembre, sobre reutilización de la información del sector público</w:t>
        </w:r>
      </w:hyperlink>
      <w:r w:rsidRPr="00775EB8">
        <w:rPr>
          <w:rFonts w:ascii="Arial Narrow" w:hAnsi="Arial Narrow" w:cs="Arial"/>
          <w:sz w:val="24"/>
          <w:szCs w:val="28"/>
          <w:lang w:val="es-ES_tradnl"/>
        </w:rPr>
        <w:t>)</w:t>
      </w:r>
    </w:p>
    <w:p w:rsidR="004C5527" w:rsidRPr="00775EB8" w:rsidRDefault="004C5527" w:rsidP="004C5527">
      <w:pPr>
        <w:spacing w:line="252" w:lineRule="auto"/>
        <w:jc w:val="both"/>
        <w:rPr>
          <w:rFonts w:ascii="Arial Narrow" w:hAnsi="Arial Narrow" w:cs="Arial"/>
          <w:sz w:val="24"/>
          <w:szCs w:val="28"/>
          <w:lang w:val="es-ES_tradnl"/>
        </w:rPr>
      </w:pPr>
      <w:r w:rsidRPr="00775EB8">
        <w:rPr>
          <w:rFonts w:ascii="Arial Narrow" w:hAnsi="Arial Narrow" w:cs="Arial"/>
          <w:b/>
          <w:bCs/>
          <w:sz w:val="24"/>
          <w:szCs w:val="28"/>
          <w:lang w:val="es-ES_tradnl"/>
        </w:rPr>
        <w:t xml:space="preserve">REUTILIZACIÓN1. </w:t>
      </w:r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Como parte del contrato cuyo objeto total o parcial sea trabajar con datos (recogida, preparación, transformación, grabación, entrada, carga, procesamiento, análisis, interpretación de datos, etc.), se entregarán los mismos al menos en </w:t>
      </w:r>
      <w:proofErr w:type="spellStart"/>
      <w:r w:rsidRPr="00775EB8">
        <w:rPr>
          <w:rFonts w:ascii="Arial Narrow" w:hAnsi="Arial Narrow" w:cs="Arial"/>
          <w:sz w:val="24"/>
          <w:szCs w:val="28"/>
          <w:lang w:val="es-ES_tradnl"/>
        </w:rPr>
        <w:t>pdf</w:t>
      </w:r>
      <w:proofErr w:type="spellEnd"/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, </w:t>
      </w:r>
      <w:proofErr w:type="spellStart"/>
      <w:r w:rsidRPr="00775EB8">
        <w:rPr>
          <w:rFonts w:ascii="Arial Narrow" w:hAnsi="Arial Narrow" w:cs="Arial"/>
          <w:sz w:val="24"/>
          <w:szCs w:val="28"/>
          <w:lang w:val="es-ES_tradnl"/>
        </w:rPr>
        <w:t>xls</w:t>
      </w:r>
      <w:proofErr w:type="spellEnd"/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, </w:t>
      </w:r>
      <w:proofErr w:type="spellStart"/>
      <w:r w:rsidRPr="00775EB8">
        <w:rPr>
          <w:rFonts w:ascii="Arial Narrow" w:hAnsi="Arial Narrow" w:cs="Arial"/>
          <w:sz w:val="24"/>
          <w:szCs w:val="28"/>
          <w:lang w:val="es-ES_tradnl"/>
        </w:rPr>
        <w:t>csv</w:t>
      </w:r>
      <w:proofErr w:type="spellEnd"/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 y RDF (</w:t>
      </w:r>
      <w:proofErr w:type="spellStart"/>
      <w:r w:rsidRPr="00775EB8">
        <w:rPr>
          <w:rFonts w:ascii="Arial Narrow" w:hAnsi="Arial Narrow" w:cs="Arial"/>
          <w:sz w:val="24"/>
          <w:szCs w:val="28"/>
          <w:lang w:val="es-ES_tradnl"/>
        </w:rPr>
        <w:t>Resource</w:t>
      </w:r>
      <w:proofErr w:type="spellEnd"/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 </w:t>
      </w:r>
      <w:proofErr w:type="spellStart"/>
      <w:r w:rsidRPr="00775EB8">
        <w:rPr>
          <w:rFonts w:ascii="Arial Narrow" w:hAnsi="Arial Narrow" w:cs="Arial"/>
          <w:sz w:val="24"/>
          <w:szCs w:val="28"/>
          <w:lang w:val="es-ES_tradnl"/>
        </w:rPr>
        <w:t>Description</w:t>
      </w:r>
      <w:proofErr w:type="spellEnd"/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 Framework), y allá donde proceda y sea aplicable, en LOD (</w:t>
      </w:r>
      <w:proofErr w:type="spellStart"/>
      <w:r w:rsidRPr="00775EB8">
        <w:rPr>
          <w:rFonts w:ascii="Arial Narrow" w:hAnsi="Arial Narrow" w:cs="Arial"/>
          <w:sz w:val="24"/>
          <w:szCs w:val="28"/>
          <w:lang w:val="es-ES_tradnl"/>
        </w:rPr>
        <w:t>Linked</w:t>
      </w:r>
      <w:proofErr w:type="spellEnd"/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 Open Data). Además, aquellos que se identifiquen como conjuntos de datos reutilizables, junto con la unidad organizativa responsable de los mismos, se enlazarán o integrarán con el portal </w:t>
      </w:r>
      <w:r w:rsidRPr="00775EB8">
        <w:rPr>
          <w:rFonts w:ascii="Arial Narrow" w:hAnsi="Arial Narrow" w:cs="Arial"/>
          <w:color w:val="5B9BD5"/>
          <w:sz w:val="24"/>
          <w:szCs w:val="28"/>
          <w:u w:val="single"/>
          <w:lang w:val="es-ES_tradnl"/>
        </w:rPr>
        <w:t>datos.gob.es</w:t>
      </w:r>
      <w:r w:rsidRPr="00775EB8">
        <w:rPr>
          <w:rFonts w:ascii="Arial Narrow" w:hAnsi="Arial Narrow" w:cs="Arial"/>
          <w:sz w:val="24"/>
          <w:szCs w:val="28"/>
          <w:lang w:val="es-ES_tradnl"/>
        </w:rPr>
        <w:t xml:space="preserve"> para su consumo.</w:t>
      </w:r>
    </w:p>
    <w:p w:rsidR="004C5527" w:rsidRPr="00775EB8" w:rsidRDefault="004C5527" w:rsidP="004C5527">
      <w:pPr>
        <w:spacing w:after="3"/>
        <w:ind w:right="40"/>
        <w:jc w:val="both"/>
        <w:rPr>
          <w:rFonts w:ascii="Arial Narrow" w:hAnsi="Arial Narrow" w:cs="Arial"/>
          <w:color w:val="000000"/>
          <w:sz w:val="24"/>
          <w:szCs w:val="28"/>
          <w:lang w:val="es-ES_tradnl"/>
        </w:rPr>
      </w:pPr>
      <w:r w:rsidRPr="00775EB8">
        <w:rPr>
          <w:rFonts w:ascii="Arial Narrow" w:hAnsi="Arial Narrow" w:cs="Arial"/>
          <w:b/>
          <w:bCs/>
          <w:sz w:val="24"/>
          <w:szCs w:val="28"/>
          <w:lang w:val="es-ES_tradnl"/>
        </w:rPr>
        <w:t>REUTILIZACIÓN</w:t>
      </w:r>
      <w:r w:rsidRPr="00775EB8">
        <w:rPr>
          <w:rFonts w:ascii="Arial Narrow" w:hAnsi="Arial Narrow" w:cs="Arial"/>
          <w:b/>
          <w:bCs/>
          <w:color w:val="000000"/>
          <w:sz w:val="24"/>
          <w:szCs w:val="28"/>
          <w:lang w:val="es-ES_tradnl"/>
        </w:rPr>
        <w:t xml:space="preserve">2. </w:t>
      </w:r>
      <w:r w:rsidRPr="00775EB8">
        <w:rPr>
          <w:rFonts w:ascii="Arial Narrow" w:hAnsi="Arial Narrow" w:cs="Arial"/>
          <w:color w:val="000000"/>
          <w:sz w:val="24"/>
          <w:szCs w:val="28"/>
          <w:lang w:val="es-ES_tradnl"/>
        </w:rPr>
        <w:t xml:space="preserve">Para los conjuntos de datos reutilizables, se cumplirá, cuando sea de aplicación la </w:t>
      </w:r>
      <w:r w:rsidRPr="00775EB8">
        <w:rPr>
          <w:rFonts w:ascii="Arial Narrow" w:hAnsi="Arial Narrow" w:cs="Arial"/>
          <w:i/>
          <w:iCs/>
          <w:color w:val="000000"/>
          <w:sz w:val="24"/>
          <w:szCs w:val="28"/>
          <w:lang w:val="es-ES_tradnl"/>
        </w:rPr>
        <w:t>Norma Técnica de Interoperabilidad de Reutilización de recursos de la información</w:t>
      </w:r>
      <w:r w:rsidRPr="00775EB8">
        <w:rPr>
          <w:rFonts w:ascii="Arial Narrow" w:hAnsi="Arial Narrow" w:cs="Arial"/>
          <w:color w:val="000000"/>
          <w:sz w:val="24"/>
          <w:szCs w:val="28"/>
          <w:lang w:val="es-ES_tradnl"/>
        </w:rPr>
        <w:t>, que desarrolla, en el ámbito de la reutilización, el Real Decreto 4/2010 por el que se regula el Esquema Nacional de Interoperabilidad en el ámbito de la Administración Electrónica.</w:t>
      </w:r>
    </w:p>
    <w:p w:rsidR="004C5527" w:rsidRPr="00775EB8" w:rsidRDefault="004C5527" w:rsidP="004C5527">
      <w:pPr>
        <w:spacing w:after="3"/>
        <w:ind w:right="40"/>
        <w:jc w:val="both"/>
        <w:rPr>
          <w:rFonts w:ascii="Arial Narrow" w:hAnsi="Arial Narrow" w:cs="Arial"/>
          <w:b/>
          <w:bCs/>
          <w:color w:val="000000"/>
          <w:sz w:val="24"/>
          <w:szCs w:val="28"/>
          <w:lang w:val="es-ES_tradnl"/>
        </w:rPr>
      </w:pPr>
    </w:p>
    <w:p w:rsidR="004C5527" w:rsidRPr="00775EB8" w:rsidRDefault="004C5527" w:rsidP="004C5527">
      <w:pPr>
        <w:spacing w:after="3"/>
        <w:ind w:right="40"/>
        <w:jc w:val="both"/>
        <w:rPr>
          <w:rFonts w:ascii="Arial Narrow" w:hAnsi="Arial Narrow" w:cs="Arial"/>
          <w:color w:val="000000"/>
          <w:sz w:val="24"/>
          <w:szCs w:val="28"/>
          <w:lang w:val="es-ES_tradnl"/>
        </w:rPr>
      </w:pPr>
      <w:r w:rsidRPr="00775EB8">
        <w:rPr>
          <w:rFonts w:ascii="Arial Narrow" w:hAnsi="Arial Narrow" w:cs="Arial"/>
          <w:b/>
          <w:bCs/>
          <w:sz w:val="24"/>
          <w:szCs w:val="28"/>
          <w:lang w:val="es-ES_tradnl"/>
        </w:rPr>
        <w:t>REUTILIZACIÓN</w:t>
      </w:r>
      <w:r w:rsidRPr="00775EB8">
        <w:rPr>
          <w:rFonts w:ascii="Arial Narrow" w:hAnsi="Arial Narrow" w:cs="Arial"/>
          <w:b/>
          <w:bCs/>
          <w:color w:val="000000"/>
          <w:sz w:val="24"/>
          <w:szCs w:val="28"/>
          <w:lang w:val="es-ES_tradnl"/>
        </w:rPr>
        <w:t xml:space="preserve">3. </w:t>
      </w:r>
      <w:r w:rsidRPr="00775EB8">
        <w:rPr>
          <w:rFonts w:ascii="Arial Narrow" w:hAnsi="Arial Narrow" w:cs="Arial"/>
          <w:color w:val="000000"/>
          <w:sz w:val="24"/>
          <w:szCs w:val="28"/>
          <w:lang w:val="es-ES_tradnl"/>
        </w:rPr>
        <w:t>Los entregables sobre reutilización de información pública serán:</w:t>
      </w:r>
    </w:p>
    <w:p w:rsidR="004C5527" w:rsidRPr="00775EB8" w:rsidRDefault="004C5527" w:rsidP="004C5527">
      <w:pPr>
        <w:pStyle w:val="Prrafodelista"/>
        <w:numPr>
          <w:ilvl w:val="0"/>
          <w:numId w:val="2"/>
        </w:numPr>
        <w:spacing w:after="3" w:line="240" w:lineRule="auto"/>
        <w:ind w:right="40"/>
        <w:jc w:val="both"/>
        <w:rPr>
          <w:rFonts w:ascii="Arial Narrow" w:hAnsi="Arial Narrow" w:cs="Arial"/>
          <w:color w:val="000000"/>
          <w:sz w:val="24"/>
          <w:szCs w:val="28"/>
          <w:lang w:val="es-ES_tradnl"/>
        </w:rPr>
      </w:pPr>
      <w:r w:rsidRPr="00775EB8">
        <w:rPr>
          <w:rFonts w:ascii="Arial Narrow" w:hAnsi="Arial Narrow" w:cs="Arial"/>
          <w:color w:val="000000"/>
          <w:sz w:val="24"/>
          <w:szCs w:val="28"/>
          <w:lang w:val="es-ES_tradnl"/>
        </w:rPr>
        <w:t>Los datos reutilizables en sí, en los formatos descritos</w:t>
      </w:r>
    </w:p>
    <w:p w:rsidR="004C5527" w:rsidRPr="00775EB8" w:rsidRDefault="004C5527" w:rsidP="004C5527">
      <w:pPr>
        <w:pStyle w:val="Prrafodelista"/>
        <w:numPr>
          <w:ilvl w:val="0"/>
          <w:numId w:val="2"/>
        </w:numPr>
        <w:spacing w:after="3" w:line="240" w:lineRule="auto"/>
        <w:ind w:right="40"/>
        <w:jc w:val="both"/>
        <w:rPr>
          <w:rFonts w:ascii="Arial Narrow" w:hAnsi="Arial Narrow" w:cs="Arial"/>
          <w:color w:val="000000"/>
          <w:sz w:val="24"/>
          <w:szCs w:val="28"/>
          <w:lang w:val="es-ES_tradnl"/>
        </w:rPr>
      </w:pPr>
      <w:r w:rsidRPr="00775EB8">
        <w:rPr>
          <w:rFonts w:ascii="Arial Narrow" w:hAnsi="Arial Narrow" w:cs="Arial"/>
          <w:color w:val="000000"/>
          <w:sz w:val="24"/>
          <w:szCs w:val="28"/>
          <w:lang w:val="es-ES_tradnl"/>
        </w:rPr>
        <w:t xml:space="preserve">Un listado de los conjuntos de datos reutilizables publicados, que incluya al menos su </w:t>
      </w:r>
      <w:proofErr w:type="spellStart"/>
      <w:r w:rsidRPr="00775EB8">
        <w:rPr>
          <w:rFonts w:ascii="Arial Narrow" w:hAnsi="Arial Narrow" w:cs="Arial"/>
          <w:color w:val="000000"/>
          <w:sz w:val="24"/>
          <w:szCs w:val="28"/>
          <w:lang w:val="es-ES_tradnl"/>
        </w:rPr>
        <w:t>url</w:t>
      </w:r>
      <w:proofErr w:type="spellEnd"/>
      <w:r w:rsidRPr="00775EB8">
        <w:rPr>
          <w:rFonts w:ascii="Arial Narrow" w:hAnsi="Arial Narrow" w:cs="Arial"/>
          <w:color w:val="000000"/>
          <w:sz w:val="24"/>
          <w:szCs w:val="28"/>
          <w:lang w:val="es-ES_tradnl"/>
        </w:rPr>
        <w:t xml:space="preserve"> de publicación, una descripción y los atributos de cada conjunto de datos</w:t>
      </w:r>
    </w:p>
    <w:p w:rsidR="004C5527" w:rsidRPr="00775EB8" w:rsidRDefault="004C5527" w:rsidP="004C5527">
      <w:pPr>
        <w:rPr>
          <w:rFonts w:ascii="Arial Narrow" w:hAnsi="Arial Narrow"/>
          <w:sz w:val="24"/>
          <w:szCs w:val="28"/>
        </w:rPr>
      </w:pPr>
    </w:p>
    <w:p w:rsidR="00277310" w:rsidRDefault="00277310"/>
    <w:sectPr w:rsidR="0027731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E4B" w:rsidRDefault="00550E4B" w:rsidP="002220FF">
      <w:r>
        <w:separator/>
      </w:r>
    </w:p>
  </w:endnote>
  <w:endnote w:type="continuationSeparator" w:id="0">
    <w:p w:rsidR="00550E4B" w:rsidRDefault="00550E4B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29982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A333B" w:rsidRDefault="007A333B">
            <w:pPr>
              <w:pStyle w:val="Piedepgina"/>
              <w:jc w:val="right"/>
            </w:pPr>
            <w:r w:rsidRPr="007A333B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7A333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A333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A333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E6B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A333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A333B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7A333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A333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A333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E6B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A333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0200E" w:rsidRDefault="007020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E4B" w:rsidRDefault="00550E4B" w:rsidP="002220FF">
      <w:r>
        <w:separator/>
      </w:r>
    </w:p>
  </w:footnote>
  <w:footnote w:type="continuationSeparator" w:id="0">
    <w:p w:rsidR="00550E4B" w:rsidRDefault="00550E4B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7A333B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691443</wp:posOffset>
                    </wp:positionH>
                    <wp:positionV relativeFrom="paragraph">
                      <wp:posOffset>165627</wp:posOffset>
                    </wp:positionV>
                    <wp:extent cx="2360930" cy="1404620"/>
                    <wp:effectExtent l="0" t="0" r="0" b="698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A333B" w:rsidRDefault="007A333B" w:rsidP="007A333B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7A333B" w:rsidRDefault="007A333B" w:rsidP="007A333B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7A333B" w:rsidRPr="00D77F7D" w:rsidRDefault="007A333B" w:rsidP="007A333B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7A333B" w:rsidRDefault="007A333B"/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4.45pt;margin-top:13.0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" stroked="f">
                    <v:textbox style="mso-fit-shape-to-text:t">
                      <w:txbxContent>
                        <w:p w:rsidR="007A333B" w:rsidRDefault="007A333B" w:rsidP="007A333B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7A333B" w:rsidRDefault="007A333B" w:rsidP="007A333B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7A333B" w:rsidRPr="00D77F7D" w:rsidRDefault="007A333B" w:rsidP="007A333B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7A333B" w:rsidRDefault="007A333B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4pt;height:46.25pt" o:ole="">
                <v:imagedata r:id="rId1" o:title=""/>
              </v:shape>
              <o:OLEObject Type="Embed" ProgID="PBrush" ShapeID="_x0000_i1025" DrawAspect="Content" ObjectID="_1706953680" r:id="rId2"/>
            </w:object>
          </w:r>
          <w:r>
            <w:t xml:space="preserve"> </w: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70200E" w:rsidRDefault="0070200E" w:rsidP="0070200E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742ABB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7F18BA"/>
    <w:multiLevelType w:val="hybridMultilevel"/>
    <w:tmpl w:val="8856D610"/>
    <w:lvl w:ilvl="0" w:tplc="0C0A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A2Mf+sMd8OAPlLzVus4ygUFOZReo5Y9tbMyy1HyhqAzzDpJ5wz2snLCMXQcn5yrGkUMOCfD12kXfZYIfdLCy8A==" w:salt="Tpu2xZkpfMUvUEaiju+L8A==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2220FF"/>
    <w:rsid w:val="00277310"/>
    <w:rsid w:val="002F0116"/>
    <w:rsid w:val="004C5527"/>
    <w:rsid w:val="00550E4B"/>
    <w:rsid w:val="0070200E"/>
    <w:rsid w:val="007A333B"/>
    <w:rsid w:val="00AE6BF7"/>
    <w:rsid w:val="00CB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4C5527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kern w:val="36"/>
      <w:sz w:val="24"/>
      <w:szCs w:val="24"/>
    </w:rPr>
  </w:style>
  <w:style w:type="paragraph" w:styleId="Ttulo2">
    <w:name w:val="heading 2"/>
    <w:basedOn w:val="Normal"/>
    <w:link w:val="Ttulo2Car"/>
    <w:uiPriority w:val="9"/>
    <w:unhideWhenUsed/>
    <w:qFormat/>
    <w:rsid w:val="004C5527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tulo3">
    <w:name w:val="heading 3"/>
    <w:basedOn w:val="Normal"/>
    <w:link w:val="Ttulo3Car"/>
    <w:uiPriority w:val="9"/>
    <w:semiHidden/>
    <w:unhideWhenUsed/>
    <w:qFormat/>
    <w:rsid w:val="004C5527"/>
    <w:pPr>
      <w:keepNext/>
      <w:numPr>
        <w:ilvl w:val="2"/>
        <w:numId w:val="1"/>
      </w:numPr>
      <w:snapToGrid w:val="0"/>
      <w:outlineLvl w:val="2"/>
    </w:pPr>
    <w:rPr>
      <w:rFonts w:ascii="Gill Sans MT" w:hAnsi="Gill Sans MT"/>
      <w:b/>
      <w:bCs/>
      <w:color w:val="000000"/>
      <w:sz w:val="18"/>
      <w:szCs w:val="18"/>
    </w:rPr>
  </w:style>
  <w:style w:type="paragraph" w:styleId="Ttulo4">
    <w:name w:val="heading 4"/>
    <w:basedOn w:val="Normal"/>
    <w:link w:val="Ttulo4Car"/>
    <w:uiPriority w:val="9"/>
    <w:semiHidden/>
    <w:unhideWhenUsed/>
    <w:qFormat/>
    <w:rsid w:val="004C5527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Ttulo5">
    <w:name w:val="heading 5"/>
    <w:basedOn w:val="Normal"/>
    <w:link w:val="Ttulo5Car"/>
    <w:uiPriority w:val="9"/>
    <w:semiHidden/>
    <w:unhideWhenUsed/>
    <w:qFormat/>
    <w:rsid w:val="004C552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tulo6">
    <w:name w:val="heading 6"/>
    <w:basedOn w:val="Normal"/>
    <w:link w:val="Ttulo6Car"/>
    <w:uiPriority w:val="9"/>
    <w:semiHidden/>
    <w:unhideWhenUsed/>
    <w:qFormat/>
    <w:rsid w:val="004C5527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</w:rPr>
  </w:style>
  <w:style w:type="paragraph" w:styleId="Ttulo7">
    <w:name w:val="heading 7"/>
    <w:basedOn w:val="Normal"/>
    <w:link w:val="Ttulo7Car"/>
    <w:uiPriority w:val="9"/>
    <w:semiHidden/>
    <w:unhideWhenUsed/>
    <w:qFormat/>
    <w:rsid w:val="004C5527"/>
    <w:pPr>
      <w:numPr>
        <w:ilvl w:val="6"/>
        <w:numId w:val="1"/>
      </w:numPr>
      <w:spacing w:before="240" w:after="60"/>
      <w:outlineLvl w:val="6"/>
    </w:pPr>
    <w:rPr>
      <w:rFonts w:ascii="Calibri" w:eastAsia="Calibri" w:hAnsi="Calibri" w:cs="Calibri"/>
      <w:sz w:val="24"/>
      <w:szCs w:val="24"/>
    </w:rPr>
  </w:style>
  <w:style w:type="paragraph" w:styleId="Ttulo8">
    <w:name w:val="heading 8"/>
    <w:basedOn w:val="Normal"/>
    <w:link w:val="Ttulo8Car"/>
    <w:uiPriority w:val="9"/>
    <w:semiHidden/>
    <w:unhideWhenUsed/>
    <w:qFormat/>
    <w:rsid w:val="004C5527"/>
    <w:pPr>
      <w:numPr>
        <w:ilvl w:val="7"/>
        <w:numId w:val="1"/>
      </w:numPr>
      <w:spacing w:before="240" w:after="60"/>
      <w:outlineLvl w:val="7"/>
    </w:pPr>
    <w:rPr>
      <w:rFonts w:ascii="Calibri" w:eastAsia="Calibri" w:hAnsi="Calibri" w:cs="Calibri"/>
      <w:i/>
      <w:iCs/>
      <w:sz w:val="24"/>
      <w:szCs w:val="24"/>
    </w:rPr>
  </w:style>
  <w:style w:type="paragraph" w:styleId="Ttulo9">
    <w:name w:val="heading 9"/>
    <w:basedOn w:val="Normal"/>
    <w:link w:val="Ttulo9Car"/>
    <w:uiPriority w:val="9"/>
    <w:semiHidden/>
    <w:unhideWhenUsed/>
    <w:qFormat/>
    <w:rsid w:val="004C5527"/>
    <w:pPr>
      <w:numPr>
        <w:ilvl w:val="8"/>
        <w:numId w:val="1"/>
      </w:numPr>
      <w:spacing w:before="240" w:after="60"/>
      <w:outlineLvl w:val="8"/>
    </w:pPr>
    <w:rPr>
      <w:rFonts w:ascii="Calibri Light" w:eastAsia="Calibri" w:hAnsi="Calibri Light" w:cs="Calibri Ligh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customStyle="1" w:styleId="Ttulo1Car">
    <w:name w:val="Título 1 Car"/>
    <w:basedOn w:val="Fuentedeprrafopredeter"/>
    <w:link w:val="Ttulo1"/>
    <w:uiPriority w:val="9"/>
    <w:rsid w:val="004C5527"/>
    <w:rPr>
      <w:rFonts w:ascii="Arial" w:eastAsia="Times New Roman" w:hAnsi="Arial" w:cs="Arial"/>
      <w:b/>
      <w:bCs/>
      <w:kern w:val="36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C5527"/>
    <w:rPr>
      <w:rFonts w:ascii="Arial" w:eastAsia="Times New Roman" w:hAnsi="Arial" w:cs="Arial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5527"/>
    <w:rPr>
      <w:rFonts w:ascii="Gill Sans MT" w:eastAsia="Times New Roman" w:hAnsi="Gill Sans MT" w:cs="Times New Roman"/>
      <w:b/>
      <w:bCs/>
      <w:color w:val="000000"/>
      <w:sz w:val="18"/>
      <w:szCs w:val="1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5527"/>
    <w:rPr>
      <w:rFonts w:ascii="Calibri" w:eastAsia="Times New Roman" w:hAnsi="Calibri" w:cs="Calibri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5527"/>
    <w:rPr>
      <w:rFonts w:ascii="Calibri" w:eastAsia="Times New Roman" w:hAnsi="Calibri" w:cs="Calibri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5527"/>
    <w:rPr>
      <w:rFonts w:ascii="Calibri" w:eastAsia="Times New Roman" w:hAnsi="Calibri" w:cs="Calibri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5527"/>
    <w:rPr>
      <w:rFonts w:ascii="Calibri" w:eastAsia="Calibri" w:hAnsi="Calibri" w:cs="Calibri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5527"/>
    <w:rPr>
      <w:rFonts w:ascii="Calibri" w:eastAsia="Calibri" w:hAnsi="Calibri" w:cs="Calibri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5527"/>
    <w:rPr>
      <w:rFonts w:ascii="Calibri Light" w:eastAsia="Calibri" w:hAnsi="Calibri Light" w:cs="Calibri Light"/>
      <w:lang w:eastAsia="es-ES"/>
    </w:rPr>
  </w:style>
  <w:style w:type="paragraph" w:styleId="Prrafodelista">
    <w:name w:val="List Paragraph"/>
    <w:basedOn w:val="Normal"/>
    <w:uiPriority w:val="34"/>
    <w:qFormat/>
    <w:rsid w:val="004C5527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Hipervnculo">
    <w:name w:val="Hyperlink"/>
    <w:uiPriority w:val="99"/>
    <w:unhideWhenUsed/>
    <w:rsid w:val="004C55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e.es/diario_boe/txt.php?id=BOE-A-2015-77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1661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5</cp:revision>
  <dcterms:created xsi:type="dcterms:W3CDTF">2021-07-06T12:05:00Z</dcterms:created>
  <dcterms:modified xsi:type="dcterms:W3CDTF">2022-02-21T12:02:00Z</dcterms:modified>
</cp:coreProperties>
</file>