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673A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269E0964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7DB1BB2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C23163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3ED85DE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A358CD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369AD7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3830641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37D2A5D" w14:textId="77777777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3CF015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773FC84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AB22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483DD5" w14:textId="77777777" w:rsidR="00366CBD" w:rsidRPr="00C7505E" w:rsidRDefault="00366CBD" w:rsidP="00366CBD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657910D5" w14:textId="77777777" w:rsidR="00366CBD" w:rsidRPr="00C7505E" w:rsidRDefault="00366CBD" w:rsidP="00366CBD">
      <w:pPr>
        <w:pStyle w:val="EstiloENAIRETitilliumRegular11ptoJustificado"/>
        <w:rPr>
          <w:lang w:val="es-ES_tradnl"/>
        </w:rPr>
      </w:pPr>
    </w:p>
    <w:p w14:paraId="7087B044" w14:textId="77777777" w:rsidR="00366CBD" w:rsidRPr="00B42D3E" w:rsidRDefault="00366CBD" w:rsidP="00366CBD">
      <w:pPr>
        <w:pStyle w:val="EstiloENAIRETitilliumRegular11ptoJustificado"/>
        <w:rPr>
          <w:rFonts w:cs="Arial"/>
          <w:lang w:val="es-ES_tradnl"/>
        </w:rPr>
      </w:pPr>
      <w:r w:rsidRPr="00B42D3E">
        <w:rPr>
          <w:rFonts w:ascii="ENAIRE Titillium Bold" w:hAnsi="ENAIRE Titillium Bold" w:cs="Arial"/>
          <w:lang w:val="es-ES_tradnl"/>
        </w:rPr>
        <w:t>PRIMERO:</w:t>
      </w:r>
      <w:r w:rsidRPr="00B42D3E">
        <w:rPr>
          <w:rFonts w:cs="Arial"/>
          <w:lang w:val="es-ES_tradnl"/>
        </w:rPr>
        <w:t xml:space="preserve"> Que desea tomar parte en la contr</w:t>
      </w:r>
      <w:r>
        <w:rPr>
          <w:rFonts w:cs="Arial"/>
          <w:lang w:val="es-ES_tradnl"/>
        </w:rPr>
        <w:t>atación del expediente núm.________</w:t>
      </w:r>
      <w:r w:rsidRPr="00B42D3E">
        <w:rPr>
          <w:rFonts w:cs="Arial"/>
          <w:lang w:val="es-ES_tradnl"/>
        </w:rPr>
        <w:t>, relativo a _________________________________________</w:t>
      </w:r>
      <w:r>
        <w:rPr>
          <w:rFonts w:cs="Arial"/>
          <w:lang w:val="es-ES_tradnl"/>
        </w:rPr>
        <w:t xml:space="preserve"> </w:t>
      </w:r>
      <w:r w:rsidRPr="00B42D3E">
        <w:rPr>
          <w:rFonts w:cs="Arial"/>
          <w:lang w:val="es-ES_tradnl"/>
        </w:rPr>
        <w:t>y ofrece llevarlo a cabo en el plazo de _________.</w:t>
      </w:r>
    </w:p>
    <w:p w14:paraId="20820855" w14:textId="77777777" w:rsidR="00366CBD" w:rsidRPr="00B42D3E" w:rsidRDefault="00366CBD" w:rsidP="00366CBD">
      <w:pPr>
        <w:pStyle w:val="EstiloENAIRETitilliumRegular11ptoJustificado"/>
        <w:rPr>
          <w:rFonts w:cs="Arial"/>
          <w:lang w:val="es-ES_tradnl"/>
        </w:rPr>
      </w:pPr>
    </w:p>
    <w:p w14:paraId="37866073" w14:textId="77777777" w:rsidR="00366CBD" w:rsidRPr="00B42D3E" w:rsidRDefault="00366CBD" w:rsidP="00366CBD">
      <w:pPr>
        <w:pStyle w:val="EstiloENAIRETitilliumRegular11ptoJustificado"/>
        <w:rPr>
          <w:rFonts w:cs="Arial"/>
          <w:lang w:val="es-ES_tradnl"/>
        </w:rPr>
      </w:pPr>
      <w:r w:rsidRPr="00B42D3E">
        <w:rPr>
          <w:rFonts w:ascii="ENAIRE Titillium Bold" w:hAnsi="ENAIRE Titillium Bold" w:cs="Arial"/>
          <w:lang w:val="es-ES_tradnl"/>
        </w:rPr>
        <w:t>SEGUNDO:</w:t>
      </w:r>
      <w:r w:rsidRPr="00B42D3E">
        <w:rPr>
          <w:rFonts w:cs="Arial"/>
          <w:lang w:val="es-ES_tradnl"/>
        </w:rPr>
        <w:t xml:space="preserve"> Que se compromete a ejecutar el servicio referido en la partida </w:t>
      </w:r>
      <w:proofErr w:type="spellStart"/>
      <w:r w:rsidRPr="00B42D3E">
        <w:rPr>
          <w:rFonts w:cs="Arial"/>
          <w:lang w:val="es-ES_tradnl"/>
        </w:rPr>
        <w:t>nº</w:t>
      </w:r>
      <w:proofErr w:type="spellEnd"/>
      <w:r w:rsidRPr="00B42D3E">
        <w:rPr>
          <w:rFonts w:cs="Arial"/>
          <w:lang w:val="es-ES_tradnl"/>
        </w:rPr>
        <w:t xml:space="preserve"> 1 en el precio de</w:t>
      </w:r>
      <w:r>
        <w:rPr>
          <w:rFonts w:cs="Arial"/>
          <w:lang w:val="es-ES_tradnl"/>
        </w:rPr>
        <w:t xml:space="preserve"> </w:t>
      </w:r>
      <w:r w:rsidRPr="00B42D3E">
        <w:rPr>
          <w:rFonts w:cs="Arial"/>
          <w:lang w:val="es-ES_tradnl"/>
        </w:rPr>
        <w:t>_________ € (IVA, IGIC, IPSI excluido) (en letra y número).</w:t>
      </w:r>
    </w:p>
    <w:p w14:paraId="392EDEC4" w14:textId="77777777" w:rsidR="00366CBD" w:rsidRPr="00C7505E" w:rsidRDefault="00366CBD" w:rsidP="00366CBD">
      <w:pPr>
        <w:pStyle w:val="EstiloENAIRETitilliumRegular11ptoJustificado"/>
        <w:rPr>
          <w:lang w:val="es-ES_tradnl"/>
        </w:rPr>
      </w:pPr>
    </w:p>
    <w:p w14:paraId="5624C783" w14:textId="77777777" w:rsidR="00366CBD" w:rsidRPr="00972D04" w:rsidRDefault="00366CBD" w:rsidP="00366CBD">
      <w:pPr>
        <w:jc w:val="both"/>
        <w:rPr>
          <w:rFonts w:ascii="ENAIRE Titillium Regular" w:hAnsi="ENAIRE Titillium Regular" w:cs="Arial"/>
          <w:highlight w:val="cyan"/>
          <w:lang w:val="es-ES_tradnl"/>
        </w:rPr>
      </w:pPr>
      <w:r w:rsidRPr="00420E98">
        <w:rPr>
          <w:rFonts w:ascii="ENAIRE Titillium Bold" w:hAnsi="ENAIRE Titillium Bold" w:cs="Arial"/>
          <w:lang w:val="es-ES_tradnl"/>
        </w:rPr>
        <w:t>TERCERO:</w:t>
      </w:r>
      <w:r w:rsidRPr="00B42D3E">
        <w:rPr>
          <w:rFonts w:ascii="ENAIRE Titillium Bold" w:hAnsi="ENAIRE Titillium Bold" w:cs="Arial"/>
          <w:lang w:val="es-ES_tradnl"/>
        </w:rPr>
        <w:t xml:space="preserve"> </w:t>
      </w:r>
      <w:r w:rsidRPr="00B42D3E">
        <w:rPr>
          <w:rFonts w:ascii="ENAIRE Titillium Regular" w:hAnsi="ENAIRE Titillium Regular" w:cs="Arial"/>
          <w:lang w:val="es-ES_tradnl"/>
        </w:rPr>
        <w:t>Que se compromete a ej</w:t>
      </w:r>
      <w:r>
        <w:rPr>
          <w:rFonts w:ascii="ENAIRE Titillium Regular" w:hAnsi="ENAIRE Titillium Regular" w:cs="Arial"/>
          <w:lang w:val="es-ES_tradnl"/>
        </w:rPr>
        <w:t xml:space="preserve">ecutar el servicio referido en </w:t>
      </w:r>
      <w:r w:rsidRPr="00B42D3E">
        <w:rPr>
          <w:rFonts w:ascii="ENAIRE Titillium Regular" w:hAnsi="ENAIRE Titillium Regular" w:cs="Arial"/>
          <w:lang w:val="es-ES_tradnl"/>
        </w:rPr>
        <w:t xml:space="preserve">la partida </w:t>
      </w:r>
      <w:proofErr w:type="spellStart"/>
      <w:r w:rsidRPr="00B42D3E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B42D3E">
        <w:rPr>
          <w:rFonts w:ascii="ENAIRE Titillium Regular" w:hAnsi="ENAIRE Titillium Regular" w:cs="Arial"/>
          <w:lang w:val="es-ES_tradnl"/>
        </w:rPr>
        <w:t xml:space="preserve"> 2 – “servicio</w:t>
      </w:r>
      <w:r>
        <w:rPr>
          <w:rFonts w:ascii="ENAIRE Titillium Regular" w:hAnsi="ENAIRE Titillium Regular" w:cs="Arial"/>
          <w:lang w:val="es-ES_tradnl"/>
        </w:rPr>
        <w:t>s</w:t>
      </w:r>
      <w:r w:rsidRPr="00B42D3E">
        <w:rPr>
          <w:rFonts w:ascii="ENAIRE Titillium Regular" w:hAnsi="ENAIRE Titillium Regular" w:cs="Arial"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 xml:space="preserve">presenciales” - en el importe máximo de </w:t>
      </w:r>
      <w:r w:rsidRPr="00B42D3E">
        <w:rPr>
          <w:rFonts w:ascii="ENAIRE Titillium Regular" w:hAnsi="ENAIRE Titillium Regular" w:cs="Arial"/>
          <w:lang w:val="es-ES_tradnl"/>
        </w:rPr>
        <w:t>5</w:t>
      </w:r>
      <w:r>
        <w:rPr>
          <w:rFonts w:ascii="ENAIRE Titillium Regular" w:hAnsi="ENAIRE Titillium Regular" w:cs="Arial"/>
          <w:lang w:val="es-ES_tradnl"/>
        </w:rPr>
        <w:t>4.000,00 €</w:t>
      </w:r>
      <w:r w:rsidRPr="00B42D3E">
        <w:rPr>
          <w:rFonts w:ascii="ENAIRE Titillium Regular" w:hAnsi="ENAIRE Titillium Regular" w:cs="Arial"/>
          <w:lang w:val="es-ES_tradnl"/>
        </w:rPr>
        <w:t>.</w:t>
      </w:r>
    </w:p>
    <w:p w14:paraId="5C06E346" w14:textId="77777777" w:rsidR="00366CBD" w:rsidRPr="00972D04" w:rsidRDefault="00366CBD" w:rsidP="00366CBD">
      <w:pPr>
        <w:jc w:val="both"/>
        <w:rPr>
          <w:rFonts w:ascii="ENAIRE Titillium Regular" w:hAnsi="ENAIRE Titillium Regular" w:cs="Arial"/>
          <w:highlight w:val="cyan"/>
          <w:lang w:val="es-ES_tradnl"/>
        </w:rPr>
      </w:pPr>
    </w:p>
    <w:p w14:paraId="0F49E9D8" w14:textId="77777777" w:rsidR="00366CBD" w:rsidRPr="00A17421" w:rsidRDefault="00366CBD" w:rsidP="00366CBD">
      <w:pPr>
        <w:jc w:val="both"/>
        <w:rPr>
          <w:rFonts w:ascii="ENAIRE Titillium Regular" w:hAnsi="ENAIRE Titillium Regular" w:cs="Arial"/>
          <w:lang w:val="es-ES_tradnl"/>
        </w:rPr>
      </w:pPr>
      <w:r w:rsidRPr="00420E98">
        <w:rPr>
          <w:rFonts w:ascii="ENAIRE Titillium Bold" w:hAnsi="ENAIRE Titillium Bold" w:cs="Arial"/>
          <w:b/>
          <w:lang w:val="es-ES_tradnl"/>
        </w:rPr>
        <w:t>CUARTO</w:t>
      </w:r>
      <w:r w:rsidRPr="00420E98">
        <w:rPr>
          <w:rFonts w:ascii="ENAIRE Titillium Bold" w:hAnsi="ENAIRE Titillium Bold" w:cs="Arial"/>
          <w:lang w:val="es-ES_tradnl"/>
        </w:rPr>
        <w:t>:</w:t>
      </w:r>
      <w:r w:rsidRPr="00A17421">
        <w:rPr>
          <w:rFonts w:ascii="ENAIRE Titillium Regular" w:hAnsi="ENAIRE Titillium Regular" w:cs="Arial"/>
          <w:lang w:val="es-ES_tradnl"/>
        </w:rPr>
        <w:t xml:space="preserve"> A los efectos prevenidos en el </w:t>
      </w:r>
      <w:r w:rsidRPr="00366CBD">
        <w:rPr>
          <w:rFonts w:ascii="ENAIRE Titillium Regular" w:hAnsi="ENAIRE Titillium Regular" w:cs="Arial"/>
          <w:color w:val="000000"/>
          <w:lang w:val="es-ES_tradnl"/>
        </w:rPr>
        <w:t xml:space="preserve">apartado 9.C) </w:t>
      </w:r>
      <w:r w:rsidRPr="00A17421">
        <w:rPr>
          <w:rFonts w:ascii="ENAIRE Titillium Regular" w:hAnsi="ENAIRE Titillium Regular" w:cs="Arial"/>
          <w:lang w:val="es-ES_tradnl"/>
        </w:rPr>
        <w:t xml:space="preserve">de este Pliego, se ofrece como porcentaje de baja (P) a aplicar a todos y cada uno de los precios unitarios de la partida </w:t>
      </w:r>
      <w:proofErr w:type="spellStart"/>
      <w:r w:rsidRPr="00A17421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A17421">
        <w:rPr>
          <w:rFonts w:ascii="ENAIRE Titillium Regular" w:hAnsi="ENAIRE Titillium Regular" w:cs="Arial"/>
          <w:lang w:val="es-ES_tradnl"/>
        </w:rPr>
        <w:t xml:space="preserve"> 2 – “servicios </w:t>
      </w:r>
      <w:r>
        <w:rPr>
          <w:rFonts w:ascii="ENAIRE Titillium Regular" w:hAnsi="ENAIRE Titillium Regular" w:cs="Arial"/>
          <w:lang w:val="es-ES_tradnl"/>
        </w:rPr>
        <w:t>presenciales</w:t>
      </w:r>
      <w:r w:rsidRPr="00A17421">
        <w:rPr>
          <w:rFonts w:ascii="ENAIRE Titillium Regular" w:hAnsi="ENAIRE Titillium Regular" w:cs="Arial"/>
          <w:lang w:val="es-ES_tradnl"/>
        </w:rPr>
        <w:t xml:space="preserve">” </w:t>
      </w:r>
      <w:r>
        <w:rPr>
          <w:rFonts w:ascii="ENAIRE Titillium Regular" w:hAnsi="ENAIRE Titillium Regular" w:cs="Arial"/>
          <w:lang w:val="es-ES_tradnl"/>
        </w:rPr>
        <w:t>del p</w:t>
      </w:r>
      <w:r w:rsidRPr="00A17421">
        <w:rPr>
          <w:rFonts w:ascii="ENAIRE Titillium Regular" w:hAnsi="ENAIRE Titillium Regular" w:cs="Arial"/>
          <w:lang w:val="es-ES_tradnl"/>
        </w:rPr>
        <w:t>resupuesto de licitación el _____ %.</w:t>
      </w:r>
    </w:p>
    <w:p w14:paraId="219CCF26" w14:textId="77777777" w:rsidR="00366CBD" w:rsidRPr="00A17421" w:rsidRDefault="00366CBD" w:rsidP="00366CBD">
      <w:pPr>
        <w:jc w:val="both"/>
        <w:rPr>
          <w:rFonts w:ascii="ENAIRE Titillium Regular" w:hAnsi="ENAIRE Titillium Regular" w:cs="Arial"/>
          <w:lang w:val="es-ES_tradnl"/>
        </w:rPr>
      </w:pPr>
    </w:p>
    <w:p w14:paraId="17C3A9D1" w14:textId="77777777" w:rsidR="00366CBD" w:rsidRPr="00A17421" w:rsidRDefault="00366CBD" w:rsidP="00366CBD">
      <w:pPr>
        <w:jc w:val="both"/>
        <w:rPr>
          <w:rFonts w:ascii="ENAIRE Titillium Regular" w:hAnsi="ENAIRE Titillium Regular" w:cs="Arial"/>
          <w:lang w:val="es-ES_tradnl"/>
        </w:rPr>
      </w:pPr>
      <w:r w:rsidRPr="00420E98">
        <w:rPr>
          <w:rFonts w:ascii="ENAIRE Titillium Bold" w:hAnsi="ENAIRE Titillium Bold" w:cs="Arial"/>
          <w:b/>
          <w:lang w:val="es-ES_tradnl"/>
        </w:rPr>
        <w:t>QUINTO</w:t>
      </w:r>
      <w:r w:rsidRPr="00420E98">
        <w:rPr>
          <w:rFonts w:ascii="ENAIRE Titillium Bold" w:hAnsi="ENAIRE Titillium Bold" w:cs="Arial"/>
          <w:lang w:val="es-ES_tradnl"/>
        </w:rPr>
        <w:t>:</w:t>
      </w:r>
      <w:r w:rsidRPr="00A17421">
        <w:rPr>
          <w:rFonts w:ascii="ENAIRE Titillium Regular" w:hAnsi="ENAIRE Titillium Regular" w:cs="Arial"/>
          <w:lang w:val="es-ES_tradnl"/>
        </w:rPr>
        <w:t xml:space="preserve"> A los mismos efectos indicados en el punto anterior, la oferta teórica válida únicamente a efectos de c</w:t>
      </w:r>
      <w:r>
        <w:rPr>
          <w:rFonts w:ascii="ENAIRE Titillium Regular" w:hAnsi="ENAIRE Titillium Regular" w:cs="Arial"/>
          <w:lang w:val="es-ES_tradnl"/>
        </w:rPr>
        <w:t>omparación es la resultante</w:t>
      </w:r>
      <w:r w:rsidRPr="00A17421">
        <w:rPr>
          <w:rFonts w:ascii="ENAIRE Titillium Regular" w:hAnsi="ENAIRE Titillium Regular" w:cs="Arial"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de cumplimentar el siguiente cuadro:</w:t>
      </w:r>
    </w:p>
    <w:p w14:paraId="48567591" w14:textId="77777777" w:rsidR="00366CBD" w:rsidRPr="00366CBD" w:rsidRDefault="00366CBD" w:rsidP="00366CBD">
      <w:pPr>
        <w:pStyle w:val="EstiloENAIRETitilliumRegular11ptoJustificado"/>
        <w:rPr>
          <w:rFonts w:cs="Arial"/>
          <w:color w:val="000000"/>
          <w:szCs w:val="22"/>
          <w:lang w:val="es-ES_tradn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126"/>
        <w:gridCol w:w="1843"/>
        <w:gridCol w:w="1984"/>
      </w:tblGrid>
      <w:tr w:rsidR="00366CBD" w14:paraId="6807226C" w14:textId="77777777" w:rsidTr="00C47AC3">
        <w:trPr>
          <w:jc w:val="center"/>
        </w:trPr>
        <w:tc>
          <w:tcPr>
            <w:tcW w:w="2122" w:type="dxa"/>
          </w:tcPr>
          <w:p w14:paraId="37E90FD2" w14:textId="77777777" w:rsidR="00366CBD" w:rsidRPr="00366CBD" w:rsidRDefault="00366CBD" w:rsidP="00C47AC3">
            <w:pPr>
              <w:pStyle w:val="EstiloENAIRETitilliumRegular11ptoJustificado"/>
              <w:jc w:val="center"/>
              <w:rPr>
                <w:rFonts w:cs="Arial"/>
                <w:color w:val="000000"/>
                <w:szCs w:val="22"/>
                <w:lang w:val="es-ES_tradnl"/>
              </w:rPr>
            </w:pPr>
            <w:r w:rsidRPr="00366CBD">
              <w:rPr>
                <w:rFonts w:cs="Arial"/>
                <w:color w:val="000000"/>
                <w:szCs w:val="22"/>
                <w:lang w:val="es-ES_tradnl"/>
              </w:rPr>
              <w:t xml:space="preserve">Importe ofertado para la partida </w:t>
            </w:r>
            <w:proofErr w:type="spellStart"/>
            <w:r w:rsidRPr="00366CBD">
              <w:rPr>
                <w:rFonts w:cs="Arial"/>
                <w:color w:val="000000"/>
                <w:szCs w:val="22"/>
                <w:lang w:val="es-ES_tradnl"/>
              </w:rPr>
              <w:t>nº</w:t>
            </w:r>
            <w:proofErr w:type="spellEnd"/>
            <w:r w:rsidRPr="00366CBD">
              <w:rPr>
                <w:rFonts w:cs="Arial"/>
                <w:color w:val="000000"/>
                <w:szCs w:val="22"/>
                <w:lang w:val="es-ES_tradnl"/>
              </w:rPr>
              <w:t xml:space="preserve"> 1</w:t>
            </w:r>
          </w:p>
        </w:tc>
        <w:tc>
          <w:tcPr>
            <w:tcW w:w="2126" w:type="dxa"/>
          </w:tcPr>
          <w:p w14:paraId="0310C475" w14:textId="77777777" w:rsidR="00366CBD" w:rsidRPr="00366CBD" w:rsidRDefault="00366CBD" w:rsidP="00C47AC3">
            <w:pPr>
              <w:pStyle w:val="EstiloENAIRETitilliumRegular11ptoJustificado"/>
              <w:jc w:val="center"/>
              <w:rPr>
                <w:rFonts w:cs="Arial"/>
                <w:color w:val="000000"/>
                <w:szCs w:val="22"/>
                <w:lang w:val="es-ES_tradnl"/>
              </w:rPr>
            </w:pPr>
            <w:r w:rsidRPr="00366CBD">
              <w:rPr>
                <w:rFonts w:cs="Arial"/>
                <w:color w:val="000000"/>
                <w:szCs w:val="22"/>
                <w:lang w:val="es-ES_tradnl"/>
              </w:rPr>
              <w:t xml:space="preserve">Porcentaje de baja partida </w:t>
            </w:r>
            <w:proofErr w:type="spellStart"/>
            <w:r w:rsidRPr="00366CBD">
              <w:rPr>
                <w:rFonts w:cs="Arial"/>
                <w:color w:val="000000"/>
                <w:szCs w:val="22"/>
                <w:lang w:val="es-ES_tradnl"/>
              </w:rPr>
              <w:t>nº</w:t>
            </w:r>
            <w:proofErr w:type="spellEnd"/>
            <w:r w:rsidRPr="00366CBD">
              <w:rPr>
                <w:rFonts w:cs="Arial"/>
                <w:color w:val="000000"/>
                <w:szCs w:val="22"/>
                <w:lang w:val="es-ES_tradnl"/>
              </w:rPr>
              <w:t xml:space="preserve"> 2 (P)</w:t>
            </w:r>
          </w:p>
        </w:tc>
        <w:tc>
          <w:tcPr>
            <w:tcW w:w="1843" w:type="dxa"/>
          </w:tcPr>
          <w:p w14:paraId="354D75D3" w14:textId="77777777" w:rsidR="00366CBD" w:rsidRPr="00366CBD" w:rsidRDefault="00366CBD" w:rsidP="00C47AC3">
            <w:pPr>
              <w:pStyle w:val="EstiloENAIRETitilliumRegular11ptoJustificado"/>
              <w:jc w:val="center"/>
              <w:rPr>
                <w:rFonts w:cs="Arial"/>
                <w:color w:val="000000"/>
                <w:szCs w:val="22"/>
                <w:lang w:val="es-ES_tradnl"/>
              </w:rPr>
            </w:pPr>
            <w:r w:rsidRPr="00366CBD">
              <w:rPr>
                <w:rFonts w:cs="Arial"/>
                <w:color w:val="000000"/>
                <w:szCs w:val="22"/>
                <w:lang w:val="es-ES_tradnl"/>
              </w:rPr>
              <w:t xml:space="preserve">Importe teórico partida nº2 </w:t>
            </w:r>
            <w:r w:rsidRPr="00366CBD">
              <w:rPr>
                <w:rFonts w:cs="Arial"/>
                <w:color w:val="000000"/>
                <w:szCs w:val="22"/>
                <w:vertAlign w:val="superscript"/>
                <w:lang w:val="es-ES_tradnl"/>
              </w:rPr>
              <w:t>(1)</w:t>
            </w:r>
          </w:p>
        </w:tc>
        <w:tc>
          <w:tcPr>
            <w:tcW w:w="1984" w:type="dxa"/>
          </w:tcPr>
          <w:p w14:paraId="77ADF7C4" w14:textId="77777777" w:rsidR="00366CBD" w:rsidRPr="00366CBD" w:rsidRDefault="00366CBD" w:rsidP="00C47AC3">
            <w:pPr>
              <w:pStyle w:val="EstiloENAIRETitilliumRegular11ptoJustificado"/>
              <w:jc w:val="center"/>
              <w:rPr>
                <w:rFonts w:cs="Arial"/>
                <w:color w:val="000000"/>
                <w:szCs w:val="22"/>
                <w:lang w:val="es-ES_tradnl"/>
              </w:rPr>
            </w:pPr>
            <w:r w:rsidRPr="00366CBD">
              <w:rPr>
                <w:rFonts w:cs="Arial"/>
                <w:color w:val="000000"/>
                <w:szCs w:val="22"/>
                <w:lang w:val="es-ES_tradnl"/>
              </w:rPr>
              <w:t xml:space="preserve">Importe total teórico </w:t>
            </w:r>
            <w:r w:rsidRPr="00366CBD">
              <w:rPr>
                <w:rFonts w:cs="Arial"/>
                <w:color w:val="000000"/>
                <w:szCs w:val="22"/>
                <w:vertAlign w:val="superscript"/>
                <w:lang w:val="es-ES_tradnl"/>
              </w:rPr>
              <w:t>(2)</w:t>
            </w:r>
          </w:p>
        </w:tc>
      </w:tr>
      <w:tr w:rsidR="00366CBD" w14:paraId="6A9040CB" w14:textId="77777777" w:rsidTr="00C47AC3">
        <w:trPr>
          <w:jc w:val="center"/>
        </w:trPr>
        <w:tc>
          <w:tcPr>
            <w:tcW w:w="2122" w:type="dxa"/>
          </w:tcPr>
          <w:p w14:paraId="74C06BC3" w14:textId="77777777" w:rsidR="00366CBD" w:rsidRPr="00366CBD" w:rsidRDefault="00366CBD" w:rsidP="00C47AC3">
            <w:pPr>
              <w:pStyle w:val="EstiloENAIRETitilliumRegular11ptoJustificado"/>
              <w:jc w:val="center"/>
              <w:rPr>
                <w:rFonts w:cs="Arial"/>
                <w:color w:val="000000"/>
                <w:szCs w:val="22"/>
                <w:lang w:val="es-ES_tradnl"/>
              </w:rPr>
            </w:pPr>
            <w:r w:rsidRPr="00366CBD">
              <w:rPr>
                <w:rFonts w:cs="Arial"/>
                <w:color w:val="000000"/>
                <w:szCs w:val="22"/>
                <w:lang w:val="es-ES_tradnl"/>
              </w:rPr>
              <w:t>- €</w:t>
            </w:r>
          </w:p>
        </w:tc>
        <w:tc>
          <w:tcPr>
            <w:tcW w:w="2126" w:type="dxa"/>
          </w:tcPr>
          <w:p w14:paraId="14F31293" w14:textId="77777777" w:rsidR="00366CBD" w:rsidRPr="00366CBD" w:rsidRDefault="00366CBD" w:rsidP="00C47AC3">
            <w:pPr>
              <w:pStyle w:val="EstiloENAIRETitilliumRegular11ptoJustificado"/>
              <w:jc w:val="center"/>
              <w:rPr>
                <w:rFonts w:cs="Arial"/>
                <w:color w:val="000000"/>
                <w:szCs w:val="22"/>
                <w:lang w:val="es-ES_tradnl"/>
              </w:rPr>
            </w:pPr>
            <w:r w:rsidRPr="00366CBD">
              <w:rPr>
                <w:rFonts w:cs="Arial"/>
                <w:color w:val="000000"/>
                <w:szCs w:val="22"/>
                <w:lang w:val="es-ES_tradnl"/>
              </w:rPr>
              <w:t>- %</w:t>
            </w:r>
          </w:p>
        </w:tc>
        <w:tc>
          <w:tcPr>
            <w:tcW w:w="1843" w:type="dxa"/>
          </w:tcPr>
          <w:p w14:paraId="4C1C5942" w14:textId="77777777" w:rsidR="00366CBD" w:rsidRPr="00366CBD" w:rsidRDefault="00366CBD" w:rsidP="00C47AC3">
            <w:pPr>
              <w:pStyle w:val="EstiloENAIRETitilliumRegular11ptoJustificado"/>
              <w:jc w:val="center"/>
              <w:rPr>
                <w:rFonts w:cs="Arial"/>
                <w:color w:val="000000"/>
                <w:szCs w:val="22"/>
                <w:lang w:val="es-ES_tradnl"/>
              </w:rPr>
            </w:pPr>
            <w:r w:rsidRPr="00366CBD">
              <w:rPr>
                <w:rFonts w:cs="Arial"/>
                <w:color w:val="000000"/>
                <w:szCs w:val="22"/>
                <w:lang w:val="es-ES_tradnl"/>
              </w:rPr>
              <w:t>- €</w:t>
            </w:r>
          </w:p>
        </w:tc>
        <w:tc>
          <w:tcPr>
            <w:tcW w:w="1984" w:type="dxa"/>
          </w:tcPr>
          <w:p w14:paraId="76991A3B" w14:textId="77777777" w:rsidR="00366CBD" w:rsidRPr="00366CBD" w:rsidRDefault="00366CBD" w:rsidP="00C47AC3">
            <w:pPr>
              <w:pStyle w:val="EstiloENAIRETitilliumRegular11ptoJustificado"/>
              <w:jc w:val="center"/>
              <w:rPr>
                <w:rFonts w:cs="Arial"/>
                <w:color w:val="000000"/>
                <w:szCs w:val="22"/>
                <w:lang w:val="es-ES_tradnl"/>
              </w:rPr>
            </w:pPr>
            <w:r w:rsidRPr="00366CBD">
              <w:rPr>
                <w:rFonts w:cs="Arial"/>
                <w:color w:val="000000"/>
                <w:szCs w:val="22"/>
                <w:lang w:val="es-ES_tradnl"/>
              </w:rPr>
              <w:t>- €</w:t>
            </w:r>
          </w:p>
        </w:tc>
      </w:tr>
    </w:tbl>
    <w:p w14:paraId="3B129339" w14:textId="77777777" w:rsidR="00366CBD" w:rsidRPr="00366CBD" w:rsidRDefault="00366CBD" w:rsidP="00366CBD">
      <w:pPr>
        <w:pStyle w:val="EstiloENAIRETitilliumRegular11ptoJustificado"/>
        <w:rPr>
          <w:rFonts w:cs="Arial"/>
          <w:color w:val="000000"/>
          <w:szCs w:val="22"/>
          <w:lang w:val="es-ES_tradnl"/>
        </w:rPr>
      </w:pPr>
    </w:p>
    <w:p w14:paraId="52A6C5A0" w14:textId="7B42C422" w:rsidR="00366CBD" w:rsidRPr="00366CBD" w:rsidRDefault="00366CBD" w:rsidP="00366CBD">
      <w:pPr>
        <w:pStyle w:val="EstiloENAIRETitilliumRegular11ptoJustificado"/>
        <w:rPr>
          <w:rFonts w:cs="Arial"/>
          <w:color w:val="000000"/>
          <w:szCs w:val="22"/>
          <w:lang w:val="es-ES_tradnl"/>
        </w:rPr>
      </w:pPr>
      <w:r>
        <w:rPr>
          <w:noProof/>
        </w:rPr>
        <w:pict w14:anchorId="53C96F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8" o:spid="_x0000_s1026" type="#_x0000_t75" style="position:absolute;left:0;text-align:left;margin-left:198.85pt;margin-top:11.35pt;width:108.25pt;height: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150 0 -150 21000 21600 21000 21600 0 -150 0">
            <v:imagedata r:id="rId7" o:title=""/>
            <w10:wrap type="through"/>
          </v:shape>
        </w:pict>
      </w:r>
      <w:r w:rsidRPr="00366CBD">
        <w:rPr>
          <w:rFonts w:cs="Arial"/>
          <w:color w:val="000000"/>
          <w:szCs w:val="22"/>
          <w:u w:val="single"/>
          <w:lang w:val="es-ES_tradnl"/>
        </w:rPr>
        <w:t>Forma de cálculo</w:t>
      </w:r>
      <w:r w:rsidRPr="00366CBD">
        <w:rPr>
          <w:rFonts w:cs="Arial"/>
          <w:color w:val="000000"/>
          <w:szCs w:val="22"/>
          <w:lang w:val="es-ES_tradnl"/>
        </w:rPr>
        <w:t xml:space="preserve">: </w:t>
      </w:r>
    </w:p>
    <w:p w14:paraId="62F875BF" w14:textId="77777777" w:rsidR="00366CBD" w:rsidRPr="00366CBD" w:rsidRDefault="00366CBD" w:rsidP="00366CBD">
      <w:pPr>
        <w:pStyle w:val="EstiloENAIRETitilliumRegular11ptoJustificado"/>
        <w:numPr>
          <w:ilvl w:val="3"/>
          <w:numId w:val="1"/>
        </w:numPr>
        <w:spacing w:before="120"/>
        <w:ind w:left="425" w:hanging="357"/>
        <w:rPr>
          <w:rFonts w:cs="Arial"/>
          <w:color w:val="000000"/>
          <w:szCs w:val="22"/>
          <w:lang w:val="es-ES_tradnl"/>
        </w:rPr>
      </w:pPr>
      <w:r w:rsidRPr="00366CBD">
        <w:rPr>
          <w:rFonts w:cs="Arial"/>
          <w:color w:val="000000"/>
          <w:szCs w:val="22"/>
          <w:lang w:val="es-ES_tradnl"/>
        </w:rPr>
        <w:t xml:space="preserve">Importe teórico de la partida </w:t>
      </w:r>
      <w:proofErr w:type="spellStart"/>
      <w:r w:rsidRPr="00366CBD">
        <w:rPr>
          <w:rFonts w:cs="Arial"/>
          <w:color w:val="000000"/>
          <w:szCs w:val="22"/>
          <w:lang w:val="es-ES_tradnl"/>
        </w:rPr>
        <w:t>nº</w:t>
      </w:r>
      <w:proofErr w:type="spellEnd"/>
      <w:r w:rsidRPr="00366CBD">
        <w:rPr>
          <w:rFonts w:cs="Arial"/>
          <w:color w:val="000000"/>
          <w:szCs w:val="22"/>
          <w:lang w:val="es-ES_tradnl"/>
        </w:rPr>
        <w:t xml:space="preserve"> 2 = </w:t>
      </w:r>
      <w:r w:rsidRPr="00A50B18">
        <w:rPr>
          <w:noProof/>
          <w:snapToGrid/>
          <w:lang w:val="es-ES"/>
        </w:rPr>
        <w:t xml:space="preserve"> </w:t>
      </w:r>
    </w:p>
    <w:p w14:paraId="70CA0C6E" w14:textId="77777777" w:rsidR="00366CBD" w:rsidRPr="00366CBD" w:rsidRDefault="00366CBD" w:rsidP="00366CBD">
      <w:pPr>
        <w:pStyle w:val="EstiloENAIRETitilliumRegular11ptoJustificado"/>
        <w:spacing w:before="120"/>
        <w:ind w:left="425"/>
        <w:rPr>
          <w:rFonts w:cs="Arial"/>
          <w:color w:val="000000"/>
          <w:szCs w:val="22"/>
          <w:lang w:val="es-ES_tradnl"/>
        </w:rPr>
      </w:pPr>
    </w:p>
    <w:p w14:paraId="124BD552" w14:textId="77777777" w:rsidR="00366CBD" w:rsidRPr="00366CBD" w:rsidRDefault="00366CBD" w:rsidP="00366CBD">
      <w:pPr>
        <w:pStyle w:val="EstiloENAIRETitilliumRegular11ptoJustificado"/>
        <w:numPr>
          <w:ilvl w:val="3"/>
          <w:numId w:val="1"/>
        </w:numPr>
        <w:ind w:left="425" w:hanging="357"/>
        <w:rPr>
          <w:rFonts w:cs="Arial"/>
          <w:color w:val="000000"/>
          <w:szCs w:val="22"/>
          <w:lang w:val="es-ES_tradnl"/>
        </w:rPr>
      </w:pPr>
      <w:r w:rsidRPr="00366CBD">
        <w:rPr>
          <w:rFonts w:cs="Arial"/>
          <w:color w:val="000000"/>
          <w:szCs w:val="22"/>
          <w:lang w:val="es-ES_tradnl"/>
        </w:rPr>
        <w:t xml:space="preserve">Importe total teórico = Importe ofertado para la partida </w:t>
      </w:r>
      <w:proofErr w:type="spellStart"/>
      <w:r w:rsidRPr="00366CBD">
        <w:rPr>
          <w:rFonts w:cs="Arial"/>
          <w:color w:val="000000"/>
          <w:szCs w:val="22"/>
          <w:lang w:val="es-ES_tradnl"/>
        </w:rPr>
        <w:t>nº</w:t>
      </w:r>
      <w:proofErr w:type="spellEnd"/>
      <w:r w:rsidRPr="00366CBD">
        <w:rPr>
          <w:rFonts w:cs="Arial"/>
          <w:color w:val="000000"/>
          <w:szCs w:val="22"/>
          <w:lang w:val="es-ES_tradnl"/>
        </w:rPr>
        <w:t xml:space="preserve"> 1 + Importe teórico de la partida </w:t>
      </w:r>
      <w:proofErr w:type="spellStart"/>
      <w:r w:rsidRPr="00366CBD">
        <w:rPr>
          <w:rFonts w:cs="Arial"/>
          <w:color w:val="000000"/>
          <w:szCs w:val="22"/>
          <w:lang w:val="es-ES_tradnl"/>
        </w:rPr>
        <w:t>nº</w:t>
      </w:r>
      <w:proofErr w:type="spellEnd"/>
      <w:r w:rsidRPr="00366CBD">
        <w:rPr>
          <w:rFonts w:cs="Arial"/>
          <w:color w:val="000000"/>
          <w:szCs w:val="22"/>
          <w:lang w:val="es-ES_tradnl"/>
        </w:rPr>
        <w:t xml:space="preserve"> 2</w:t>
      </w:r>
    </w:p>
    <w:p w14:paraId="024359EC" w14:textId="77777777" w:rsidR="00366CBD" w:rsidRPr="001478B6" w:rsidRDefault="00366CBD" w:rsidP="00366CBD">
      <w:pPr>
        <w:pStyle w:val="EstiloENAIRETitilliumRegular11ptoJustificado"/>
        <w:rPr>
          <w:rFonts w:ascii="ENAIRE Titillium Light" w:hAnsi="ENAIRE Titillium Light" w:cs="Arial"/>
          <w:szCs w:val="22"/>
          <w:lang w:val="es-ES_tradnl"/>
        </w:rPr>
      </w:pPr>
      <w:r w:rsidRPr="00366CBD">
        <w:rPr>
          <w:rFonts w:cs="Arial"/>
          <w:color w:val="000000"/>
          <w:szCs w:val="22"/>
          <w:lang w:val="es-ES_tradnl"/>
        </w:rPr>
        <w:t xml:space="preserve">     </w:t>
      </w:r>
    </w:p>
    <w:p w14:paraId="6CDD6FE0" w14:textId="77777777" w:rsidR="00366CBD" w:rsidRDefault="00366CBD" w:rsidP="00366CBD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t>SEXTO</w:t>
      </w:r>
      <w:r w:rsidRPr="00312623">
        <w:rPr>
          <w:rFonts w:ascii="ENAIRE Titillium Bold" w:hAnsi="ENAIRE Titillium Bold" w:cs="Arial"/>
          <w:b/>
          <w:lang w:val="es-ES_tradnl"/>
        </w:rPr>
        <w:t>:</w:t>
      </w:r>
      <w:r w:rsidRPr="00312623">
        <w:rPr>
          <w:rFonts w:ascii="ENAIRE Titillium Regular" w:hAnsi="ENAIRE Titillium Regular" w:cs="Arial"/>
          <w:lang w:val="es-ES_tradnl"/>
        </w:rPr>
        <w:t xml:space="preserve"> Que</w:t>
      </w:r>
      <w:r w:rsidRPr="00420E98">
        <w:rPr>
          <w:rFonts w:ascii="ENAIRE Titillium Regular" w:hAnsi="ENAIRE Titillium Regular" w:cs="Arial"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 xml:space="preserve">oferta _____ </w:t>
      </w:r>
      <w:r>
        <w:rPr>
          <w:rFonts w:ascii="ENAIRE Titillium Regular" w:hAnsi="ENAIRE Titillium Regular" w:cs="Arial"/>
          <w:noProof/>
          <w:lang w:val="es-ES"/>
        </w:rPr>
        <w:t>webinars presenciales o en streaming adicionales a los 20 anuales incluidos en el Pliego de Prescripciones Técnicas.</w:t>
      </w:r>
    </w:p>
    <w:p w14:paraId="0619C69D" w14:textId="77777777" w:rsidR="00366CBD" w:rsidRDefault="00366CBD" w:rsidP="00366CBD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25E51E2C" w14:textId="77777777" w:rsidR="00366CBD" w:rsidRDefault="00366CBD" w:rsidP="00366CBD">
      <w:pPr>
        <w:jc w:val="both"/>
        <w:rPr>
          <w:rFonts w:ascii="ENAIRE Titillium Regular" w:hAnsi="ENAIRE Titillium Regular" w:cs="Arial"/>
          <w:lang w:val="es-ES_tradnl"/>
        </w:rPr>
      </w:pPr>
      <w:r w:rsidRPr="00312623">
        <w:rPr>
          <w:rFonts w:ascii="ENAIRE Titillium Bold" w:hAnsi="ENAIRE Titillium Bold" w:cs="Arial"/>
          <w:b/>
          <w:lang w:val="es-ES_tradnl"/>
        </w:rPr>
        <w:t>SÉPTIMO:</w:t>
      </w:r>
      <w:r w:rsidRPr="00312623">
        <w:rPr>
          <w:rFonts w:ascii="ENAIRE Titillium Regular" w:hAnsi="ENAIRE Titillium Regular" w:cs="Arial"/>
          <w:lang w:val="es-ES_tradnl"/>
        </w:rPr>
        <w:t xml:space="preserve"> Que</w:t>
      </w:r>
      <w:r w:rsidRPr="00420E98">
        <w:rPr>
          <w:rFonts w:ascii="ENAIRE Titillium Regular" w:hAnsi="ENAIRE Titillium Regular" w:cs="Arial"/>
          <w:lang w:val="es-ES_tradnl"/>
        </w:rPr>
        <w:t xml:space="preserve"> conoce y acepta íntegramente los Pliegos de Cláusulas Particulares y Prescripciones Técnicas de este expediente, a los cuales se somete en todas sus partes y que son base para esta contratación.</w:t>
      </w:r>
    </w:p>
    <w:p w14:paraId="211D4D9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379D02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8F528E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215F031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5506DD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036B73C8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C4566B2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D81867E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0D1162B9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sectPr w:rsidR="00B741C1" w:rsidRPr="00E13126" w:rsidSect="005026FF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9AA7" w14:textId="77777777" w:rsidR="008155BF" w:rsidRDefault="008155BF" w:rsidP="00DE5030">
      <w:r>
        <w:separator/>
      </w:r>
    </w:p>
  </w:endnote>
  <w:endnote w:type="continuationSeparator" w:id="0">
    <w:p w14:paraId="175909EA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FCBA" w14:textId="77777777" w:rsidR="008155BF" w:rsidRDefault="008155BF" w:rsidP="00DE5030">
      <w:r>
        <w:separator/>
      </w:r>
    </w:p>
  </w:footnote>
  <w:footnote w:type="continuationSeparator" w:id="0">
    <w:p w14:paraId="32EA62C1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DA55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99CD97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7F70E41B" w14:textId="77777777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 --/---</w:t>
    </w:r>
  </w:p>
  <w:p w14:paraId="28EBE03D" w14:textId="77777777" w:rsidR="00B741C1" w:rsidRDefault="00B741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751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oNotTrackMove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030"/>
    <w:rsid w:val="00036CA7"/>
    <w:rsid w:val="00107004"/>
    <w:rsid w:val="00366CBD"/>
    <w:rsid w:val="003B224C"/>
    <w:rsid w:val="00487BCF"/>
    <w:rsid w:val="00493FA8"/>
    <w:rsid w:val="004B6850"/>
    <w:rsid w:val="004D664A"/>
    <w:rsid w:val="005026FF"/>
    <w:rsid w:val="0050293D"/>
    <w:rsid w:val="00582EF7"/>
    <w:rsid w:val="0064634A"/>
    <w:rsid w:val="00667C22"/>
    <w:rsid w:val="006D457C"/>
    <w:rsid w:val="00701AC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4684C66"/>
  <w15:chartTrackingRefBased/>
  <w15:docId w15:val="{6A23F875-EF0C-462C-AF21-BB42B98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aliases w:val="Body List Car"/>
    <w:link w:val="Textoindependiente"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table" w:styleId="Tablaconcuadrcula">
    <w:name w:val="Table Grid"/>
    <w:basedOn w:val="Tablanormal"/>
    <w:uiPriority w:val="59"/>
    <w:rsid w:val="00366CB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ENAIRETitilliumRegular11ptoJustificado">
    <w:name w:val="Estilo ENAIRE Titillium Regular 11 pto Justificado"/>
    <w:basedOn w:val="Normal"/>
    <w:rsid w:val="00366CBD"/>
    <w:pPr>
      <w:jc w:val="both"/>
    </w:pPr>
    <w:rPr>
      <w:rFonts w:ascii="ENAIRE Titillium Regular" w:hAnsi="ENAIRE Titillium 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4</cp:revision>
  <dcterms:created xsi:type="dcterms:W3CDTF">2022-02-24T13:09:00Z</dcterms:created>
  <dcterms:modified xsi:type="dcterms:W3CDTF">2023-09-01T11:45:00Z</dcterms:modified>
</cp:coreProperties>
</file>