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296B60AA" w14:textId="77777777" w:rsidR="003E2983" w:rsidRDefault="003E2983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1610A495" w14:textId="2B7102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33979056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70934AA8" w14:textId="3DC1677C" w:rsidR="007A0FF2" w:rsidRDefault="00967522" w:rsidP="007A0FF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758646A" w14:textId="40D1E960" w:rsidR="007A0FF2" w:rsidRPr="007A0FF2" w:rsidRDefault="007A0FF2" w:rsidP="007A0FF2">
      <w:pPr>
        <w:pStyle w:val="Prrafodelista"/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7A0FF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10E5C9" w14:textId="77777777" w:rsidR="007A0FF2" w:rsidRDefault="007A0FF2" w:rsidP="007A0FF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Pliego </w:t>
      </w:r>
      <w:r>
        <w:rPr>
          <w:rFonts w:ascii="ENAIRE Titillium Regular" w:hAnsi="ENAIRE Titillium Regular" w:cs="ENAIRE Titillium Regular"/>
          <w:sz w:val="20"/>
          <w:lang w:val="es-ES"/>
        </w:rPr>
        <w:t xml:space="preserve">y en particular, con los medios humanos exigidos en el PPT para la ejecución del contrato. </w:t>
      </w:r>
    </w:p>
    <w:p w14:paraId="49C19064" w14:textId="3FABCE59" w:rsidR="007A0FF2" w:rsidRPr="007A0FF2" w:rsidRDefault="007A0FF2" w:rsidP="007A0FF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>
        <w:rPr>
          <w:rFonts w:ascii="ENAIRE Titillium Regular" w:hAnsi="ENAIRE Titillium Regular" w:cs="Arial"/>
          <w:snapToGrid w:val="0"/>
          <w:sz w:val="20"/>
        </w:rPr>
        <w:t xml:space="preserve"> / </w:t>
      </w: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12B6ADF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Tiene </w:t>
      </w:r>
      <w:r w:rsidR="00872E70">
        <w:rPr>
          <w:rFonts w:ascii="ENAIRE Titillium Regular" w:hAnsi="ENAIRE Titillium Regular" w:cs="Arial"/>
          <w:sz w:val="20"/>
          <w:lang w:val="es-ES_tradnl"/>
        </w:rPr>
        <w:t>50 o más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B6524">
      <w:pPr>
        <w:tabs>
          <w:tab w:val="left" w:pos="419"/>
        </w:tabs>
        <w:snapToGrid/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15E18F8D" w:rsid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4C5003D" w14:textId="5076B00E" w:rsidR="00AE6BF0" w:rsidRPr="00AE6BF0" w:rsidRDefault="00AE6BF0" w:rsidP="00413EA7">
      <w:pPr>
        <w:keepNext/>
        <w:widowControl/>
        <w:numPr>
          <w:ilvl w:val="1"/>
          <w:numId w:val="7"/>
        </w:numPr>
        <w:tabs>
          <w:tab w:val="left" w:pos="426"/>
        </w:tabs>
        <w:snapToGrid/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</w:pP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DECLARA que la empresa pertenece a un grupo empresarial</w:t>
      </w:r>
      <w:r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.</w:t>
      </w: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 xml:space="preserve"> </w:t>
      </w:r>
    </w:p>
    <w:p w14:paraId="24A6FC81" w14:textId="77777777" w:rsidR="00AE6BF0" w:rsidRDefault="00AE6BF0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7B49AED4" w14:textId="5AD80DFE" w:rsidR="00AE6BF0" w:rsidRDefault="00AE6BF0" w:rsidP="009B6524">
      <w:pPr>
        <w:keepNext/>
        <w:widowControl/>
        <w:tabs>
          <w:tab w:val="left" w:pos="426"/>
        </w:tabs>
        <w:snapToGrid/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D9DAA9B" w14:textId="77777777" w:rsidR="009B6524" w:rsidRPr="009B6524" w:rsidRDefault="009B6524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234A4CF8" w14:textId="471A2127" w:rsidR="00AE6BF0" w:rsidRPr="00AE6BF0" w:rsidRDefault="00AE6BF0" w:rsidP="009B6524">
      <w:pPr>
        <w:pStyle w:val="Prrafodelista"/>
        <w:numPr>
          <w:ilvl w:val="1"/>
          <w:numId w:val="7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</w:p>
    <w:p w14:paraId="74778DA6" w14:textId="0C8E35DB" w:rsidR="00AE6BF0" w:rsidRPr="00AE6BF0" w:rsidRDefault="00AE6BF0" w:rsidP="00AE6BF0">
      <w:pPr>
        <w:pStyle w:val="Prrafodelista"/>
        <w:tabs>
          <w:tab w:val="left" w:pos="419"/>
        </w:tabs>
        <w:snapToGrid/>
        <w:spacing w:before="120"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982050E" w14:textId="1A4B7CAE" w:rsidR="00AE6BF0" w:rsidRPr="00AE6BF0" w:rsidRDefault="00AE6BF0" w:rsidP="00AE6BF0">
      <w:pPr>
        <w:snapToGrid/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2FDC92A" w14:textId="4D19B250" w:rsidR="008800EC" w:rsidRDefault="00967522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1633C054" w14:textId="46EB8728" w:rsidR="008800EC" w:rsidRPr="00967522" w:rsidRDefault="00384351" w:rsidP="008800EC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A660113" w14:textId="080020A9" w:rsidR="008800EC" w:rsidRPr="00967522" w:rsidRDefault="008800EC" w:rsidP="008800EC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</w:t>
      </w:r>
      <w:r w:rsidR="00384351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16441657" w14:textId="77777777" w:rsidR="008800EC" w:rsidRPr="00967522" w:rsidRDefault="008800EC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88C3756" w14:textId="77777777" w:rsidR="008800EC" w:rsidRPr="00967522" w:rsidRDefault="008800EC" w:rsidP="009B6524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</w:p>
    <w:p w14:paraId="541027FD" w14:textId="77777777" w:rsidR="00967522" w:rsidRPr="00B57A45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B57A45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0ADAEC5B" w14:textId="2C789D52" w:rsidR="00967522" w:rsidRPr="00B57A45" w:rsidRDefault="00D04604" w:rsidP="00AC4256">
      <w:pPr>
        <w:keepNext/>
        <w:widowControl/>
        <w:snapToGrid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B57A45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</w:t>
      </w:r>
      <w:r w:rsidR="00967522" w:rsidRPr="00B57A45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 xml:space="preserve"> someterse a cuantas disposiciones sobre protección y condiciones de trabajo resulten de aplicación en el lugar donde vaya a efectuarse la prestación, y que han sido tenidas en cuenta a la hora de elaborar la oferta</w:t>
      </w:r>
      <w:r w:rsidR="00967522" w:rsidRPr="00B57A45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B57A45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B57A45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B57A45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B57A45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B57A45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B57A45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B57A45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Sometimiento a la </w:t>
      </w: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jurisdicción española (cumplimentar únicamente en el caso de empresas extranjeras)</w:t>
      </w:r>
    </w:p>
    <w:p w14:paraId="75AFDEDC" w14:textId="44D353AA" w:rsidR="00967522" w:rsidRPr="00967522" w:rsidRDefault="00D04604" w:rsidP="00D04604">
      <w:pPr>
        <w:keepNext/>
        <w:widowControl/>
        <w:tabs>
          <w:tab w:val="left" w:pos="426"/>
        </w:tabs>
        <w:snapToGrid/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</w:t>
      </w:r>
      <w:r w:rsidR="00967522"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445B3400" w14:textId="47589AB5" w:rsidR="00967522" w:rsidRPr="00AC4256" w:rsidRDefault="00967522" w:rsidP="00AC4256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9E6AF60" w14:textId="77777777" w:rsidR="00967522" w:rsidRPr="00967522" w:rsidRDefault="00967522" w:rsidP="00AC4256">
      <w:pPr>
        <w:snapToGrid/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En…………</w:t>
      </w:r>
      <w:proofErr w:type="gramStart"/>
      <w:r w:rsidRPr="00967522">
        <w:rPr>
          <w:rFonts w:ascii="ENAIRE Titillium Regular" w:hAnsi="ENAIRE Titillium Regular" w:cs="Arial"/>
          <w:sz w:val="20"/>
          <w:lang w:val="es-ES_tradnl"/>
        </w:rPr>
        <w:t>…….</w:t>
      </w:r>
      <w:proofErr w:type="gram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AE6BF0" w:rsidRDefault="00D34F37">
      <w:pPr>
        <w:rPr>
          <w:lang w:val="es-ES"/>
        </w:rPr>
      </w:pPr>
    </w:p>
    <w:sectPr w:rsidR="00D34F37" w:rsidRPr="00AE6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36A2" w14:textId="77777777" w:rsidR="00872E70" w:rsidRDefault="00872E70" w:rsidP="00872E70">
      <w:r>
        <w:separator/>
      </w:r>
    </w:p>
  </w:endnote>
  <w:endnote w:type="continuationSeparator" w:id="0">
    <w:p w14:paraId="1A98404E" w14:textId="77777777" w:rsidR="00872E70" w:rsidRDefault="00872E70" w:rsidP="0087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7E00" w14:textId="77777777" w:rsidR="00872E70" w:rsidRDefault="00872E70" w:rsidP="00872E70">
      <w:r>
        <w:separator/>
      </w:r>
    </w:p>
  </w:footnote>
  <w:footnote w:type="continuationSeparator" w:id="0">
    <w:p w14:paraId="76674F67" w14:textId="77777777" w:rsidR="00872E70" w:rsidRDefault="00872E70" w:rsidP="0087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BF28D220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073019">
    <w:abstractNumId w:val="3"/>
  </w:num>
  <w:num w:numId="2" w16cid:durableId="10105693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137609">
    <w:abstractNumId w:val="0"/>
  </w:num>
  <w:num w:numId="4" w16cid:durableId="750156393">
    <w:abstractNumId w:val="4"/>
  </w:num>
  <w:num w:numId="5" w16cid:durableId="995762747">
    <w:abstractNumId w:val="3"/>
  </w:num>
  <w:num w:numId="6" w16cid:durableId="1666396416">
    <w:abstractNumId w:val="1"/>
  </w:num>
  <w:num w:numId="7" w16cid:durableId="18455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84351"/>
    <w:rsid w:val="003E2983"/>
    <w:rsid w:val="00413EA7"/>
    <w:rsid w:val="00420A40"/>
    <w:rsid w:val="00594EFA"/>
    <w:rsid w:val="006223B0"/>
    <w:rsid w:val="00647495"/>
    <w:rsid w:val="007A0FF2"/>
    <w:rsid w:val="00872E70"/>
    <w:rsid w:val="008800EC"/>
    <w:rsid w:val="008D2598"/>
    <w:rsid w:val="009166BE"/>
    <w:rsid w:val="00967522"/>
    <w:rsid w:val="009B6524"/>
    <w:rsid w:val="00AC4256"/>
    <w:rsid w:val="00AE6BF0"/>
    <w:rsid w:val="00B57A45"/>
    <w:rsid w:val="00B748F9"/>
    <w:rsid w:val="00CC72FC"/>
    <w:rsid w:val="00D04604"/>
    <w:rsid w:val="00D34F37"/>
    <w:rsid w:val="00D56757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Herrera Rodríguez, Isaac</cp:lastModifiedBy>
  <cp:revision>23</cp:revision>
  <dcterms:created xsi:type="dcterms:W3CDTF">2020-02-10T08:44:00Z</dcterms:created>
  <dcterms:modified xsi:type="dcterms:W3CDTF">2023-09-01T11:45:00Z</dcterms:modified>
</cp:coreProperties>
</file>