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404A" w:rsidRPr="001C60CC" w:rsidRDefault="00CB404A" w:rsidP="00CB404A">
      <w:pPr>
        <w:pStyle w:val="ti-grseq-1"/>
        <w:spacing w:before="0" w:beforeAutospacing="0" w:after="0" w:afterAutospacing="0" w:line="312" w:lineRule="atLeast"/>
        <w:jc w:val="center"/>
        <w:textAlignment w:val="baseline"/>
        <w:rPr>
          <w:rStyle w:val="bold"/>
          <w:rFonts w:ascii="Arial Narrow" w:hAnsi="Arial Narrow"/>
          <w:b/>
          <w:bCs/>
          <w:sz w:val="28"/>
          <w:szCs w:val="28"/>
          <w:bdr w:val="none" w:sz="0" w:space="0" w:color="auto" w:frame="1"/>
        </w:rPr>
      </w:pPr>
      <w:r w:rsidRPr="001C60CC">
        <w:rPr>
          <w:rStyle w:val="bold"/>
          <w:rFonts w:ascii="Arial Narrow" w:hAnsi="Arial Narrow"/>
          <w:b/>
          <w:bCs/>
          <w:sz w:val="28"/>
          <w:szCs w:val="28"/>
          <w:bdr w:val="none" w:sz="0" w:space="0" w:color="auto" w:frame="1"/>
        </w:rPr>
        <w:t>ANEXO I</w:t>
      </w:r>
    </w:p>
    <w:p w:rsidR="00CB404A" w:rsidRPr="005F013D" w:rsidRDefault="00CB404A" w:rsidP="00CB404A">
      <w:pPr>
        <w:pStyle w:val="ti-grseq-1"/>
        <w:spacing w:before="0" w:beforeAutospacing="0" w:after="0" w:afterAutospacing="0" w:line="312" w:lineRule="atLeast"/>
        <w:jc w:val="center"/>
        <w:textAlignment w:val="baseline"/>
        <w:rPr>
          <w:rStyle w:val="bold"/>
          <w:rFonts w:ascii="Arial Narrow" w:hAnsi="Arial Narrow"/>
          <w:b/>
          <w:bCs/>
          <w:color w:val="444444"/>
          <w:sz w:val="28"/>
          <w:szCs w:val="28"/>
          <w:bdr w:val="none" w:sz="0" w:space="0" w:color="auto" w:frame="1"/>
        </w:rPr>
      </w:pPr>
    </w:p>
    <w:p w:rsidR="00CB404A" w:rsidRDefault="00CB404A" w:rsidP="00CB404A">
      <w:pPr>
        <w:pStyle w:val="ti-grseq-1"/>
        <w:spacing w:before="0" w:beforeAutospacing="0" w:after="0" w:afterAutospacing="0" w:line="312" w:lineRule="atLeast"/>
        <w:ind w:left="-709"/>
        <w:jc w:val="both"/>
        <w:textAlignment w:val="baseline"/>
        <w:rPr>
          <w:rStyle w:val="bold"/>
          <w:rFonts w:ascii="Arial Narrow" w:hAnsi="Arial Narrow"/>
          <w:b/>
          <w:bCs/>
          <w:color w:val="444444"/>
          <w:sz w:val="28"/>
          <w:szCs w:val="28"/>
          <w:bdr w:val="none" w:sz="0" w:space="0" w:color="auto" w:frame="1"/>
        </w:rPr>
      </w:pPr>
    </w:p>
    <w:p w:rsidR="00CB404A" w:rsidRPr="00685182" w:rsidRDefault="00CB404A" w:rsidP="00CB404A">
      <w:pPr>
        <w:shd w:val="clear" w:color="auto" w:fill="EEEEEE"/>
        <w:spacing w:before="240" w:after="120" w:line="312" w:lineRule="atLeast"/>
        <w:jc w:val="center"/>
        <w:rPr>
          <w:rFonts w:ascii="Times New Roman" w:eastAsia="Times New Roman" w:hAnsi="Times New Roman"/>
          <w:b/>
          <w:bCs/>
          <w:color w:val="444444"/>
          <w:sz w:val="27"/>
          <w:szCs w:val="27"/>
          <w:lang w:eastAsia="es-ES"/>
        </w:rPr>
      </w:pPr>
      <w:r w:rsidRPr="00685182">
        <w:rPr>
          <w:rFonts w:ascii="Times New Roman" w:eastAsia="Times New Roman" w:hAnsi="Times New Roman"/>
          <w:b/>
          <w:bCs/>
          <w:color w:val="444444"/>
          <w:sz w:val="27"/>
          <w:szCs w:val="27"/>
          <w:lang w:eastAsia="es-ES"/>
        </w:rPr>
        <w:t xml:space="preserve">INSTRUCCIONES </w:t>
      </w:r>
      <w:r w:rsidR="00E258CA">
        <w:rPr>
          <w:rFonts w:ascii="Times New Roman" w:eastAsia="Times New Roman" w:hAnsi="Times New Roman"/>
          <w:b/>
          <w:bCs/>
          <w:color w:val="444444"/>
          <w:sz w:val="27"/>
          <w:szCs w:val="27"/>
          <w:lang w:eastAsia="es-ES"/>
        </w:rPr>
        <w:t>PARA LA CUMPLIMENTACIÓ</w:t>
      </w:r>
      <w:r>
        <w:rPr>
          <w:rFonts w:ascii="Times New Roman" w:eastAsia="Times New Roman" w:hAnsi="Times New Roman"/>
          <w:b/>
          <w:bCs/>
          <w:color w:val="444444"/>
          <w:sz w:val="27"/>
          <w:szCs w:val="27"/>
          <w:lang w:eastAsia="es-ES"/>
        </w:rPr>
        <w:t>N DEL DEUC</w:t>
      </w:r>
    </w:p>
    <w:p w:rsidR="00CB404A" w:rsidRDefault="00CB404A" w:rsidP="00CB404A">
      <w:pPr>
        <w:shd w:val="clear" w:color="auto" w:fill="EEEEEE"/>
        <w:spacing w:before="120" w:after="0" w:line="312" w:lineRule="atLeast"/>
        <w:jc w:val="both"/>
        <w:rPr>
          <w:rFonts w:ascii="Times New Roman" w:eastAsia="Times New Roman" w:hAnsi="Times New Roman"/>
          <w:color w:val="444444"/>
          <w:sz w:val="27"/>
          <w:szCs w:val="27"/>
          <w:lang w:eastAsia="es-ES"/>
        </w:rPr>
      </w:pPr>
      <w:r w:rsidRPr="00685182">
        <w:rPr>
          <w:rFonts w:ascii="Times New Roman" w:eastAsia="Times New Roman" w:hAnsi="Times New Roman"/>
          <w:color w:val="444444"/>
          <w:sz w:val="27"/>
          <w:szCs w:val="27"/>
          <w:lang w:eastAsia="es-ES"/>
        </w:rPr>
        <w:t>El documento europeo único de contratación (DEUC) consiste en una declaración de los operadores económicos interesados que sirve de prueba preliminar, en sustitución de los certificados expedidos por las autoridades públicas o por terceros. De conformidad con el artículo 59 de la Directiva 2014/24/UE, constituye una declaración formal por la que el operador económico certifica que no se encuentra en alguna de las situaciones en las que deba o pueda ser excluido; que cumple los criterios de selección pertinentes, así como, cuando proceda, las normas y los criterios objetivos que se hayan establecido con el fin de limitar el número de candidatos cualificados a los que se invite a participar. Su objetivo es reducir las cargas administrativas que conlleva la obligación de presentar un número sustancial de certificados u otros documentos relacionados con los criterios de exclusión y de selección.</w:t>
      </w:r>
      <w:r>
        <w:rPr>
          <w:rFonts w:ascii="Times New Roman" w:eastAsia="Times New Roman" w:hAnsi="Times New Roman"/>
          <w:color w:val="444444"/>
          <w:sz w:val="27"/>
          <w:szCs w:val="27"/>
          <w:lang w:eastAsia="es-ES"/>
        </w:rPr>
        <w:t xml:space="preserve"> </w:t>
      </w:r>
    </w:p>
    <w:p w:rsidR="00CB404A" w:rsidRDefault="00CB404A" w:rsidP="00CB404A">
      <w:pPr>
        <w:shd w:val="clear" w:color="auto" w:fill="EEEEEE"/>
        <w:spacing w:before="120" w:after="0" w:line="312" w:lineRule="atLeast"/>
        <w:jc w:val="both"/>
        <w:rPr>
          <w:rFonts w:ascii="Times New Roman" w:eastAsia="Times New Roman" w:hAnsi="Times New Roman"/>
          <w:color w:val="444444"/>
          <w:sz w:val="27"/>
          <w:szCs w:val="27"/>
          <w:lang w:eastAsia="es-ES"/>
        </w:rPr>
      </w:pPr>
      <w:r>
        <w:rPr>
          <w:rFonts w:ascii="Times New Roman" w:eastAsia="Times New Roman" w:hAnsi="Times New Roman"/>
          <w:color w:val="444444"/>
          <w:sz w:val="27"/>
          <w:szCs w:val="27"/>
          <w:lang w:eastAsia="es-ES"/>
        </w:rPr>
        <w:t xml:space="preserve">Se puede acceder al DEUC a través del siguiente enlace: </w:t>
      </w:r>
      <w:r w:rsidRPr="005A3942">
        <w:rPr>
          <w:rFonts w:ascii="Times New Roman" w:eastAsia="Times New Roman" w:hAnsi="Times New Roman"/>
          <w:color w:val="444444"/>
          <w:sz w:val="27"/>
          <w:szCs w:val="27"/>
          <w:lang w:eastAsia="es-ES"/>
        </w:rPr>
        <w:t>-</w:t>
      </w:r>
      <w:r w:rsidRPr="005A3942">
        <w:rPr>
          <w:rFonts w:ascii="Times New Roman" w:eastAsia="Times New Roman" w:hAnsi="Times New Roman"/>
          <w:color w:val="444444"/>
          <w:sz w:val="27"/>
          <w:szCs w:val="27"/>
          <w:lang w:eastAsia="es-ES"/>
        </w:rPr>
        <w:tab/>
        <w:t xml:space="preserve">  </w:t>
      </w:r>
      <w:hyperlink r:id="rId7" w:history="1">
        <w:r w:rsidRPr="00B51BC9">
          <w:rPr>
            <w:rStyle w:val="Hipervnculo"/>
            <w:rFonts w:ascii="Times New Roman" w:eastAsia="Times New Roman" w:hAnsi="Times New Roman"/>
            <w:sz w:val="27"/>
            <w:szCs w:val="27"/>
            <w:lang w:eastAsia="es-ES"/>
          </w:rPr>
          <w:t>https://visor.registrodelicitadores.gob.es/home</w:t>
        </w:r>
      </w:hyperlink>
    </w:p>
    <w:p w:rsidR="00CB404A" w:rsidRPr="00685182" w:rsidRDefault="00CB404A" w:rsidP="00CB404A">
      <w:pPr>
        <w:shd w:val="clear" w:color="auto" w:fill="EEEEEE"/>
        <w:spacing w:before="120" w:after="0" w:line="312" w:lineRule="atLeast"/>
        <w:jc w:val="both"/>
        <w:rPr>
          <w:rFonts w:ascii="Times New Roman" w:eastAsia="Times New Roman" w:hAnsi="Times New Roman"/>
          <w:color w:val="444444"/>
          <w:sz w:val="27"/>
          <w:szCs w:val="27"/>
          <w:lang w:eastAsia="es-ES"/>
        </w:rPr>
      </w:pPr>
    </w:p>
    <w:p w:rsidR="00CB404A" w:rsidRPr="00685182" w:rsidRDefault="00CB404A" w:rsidP="00CB404A">
      <w:pPr>
        <w:shd w:val="clear" w:color="auto" w:fill="EEEEEE"/>
        <w:spacing w:before="120" w:after="0" w:line="312" w:lineRule="atLeast"/>
        <w:jc w:val="both"/>
        <w:rPr>
          <w:rFonts w:ascii="Times New Roman" w:eastAsia="Times New Roman" w:hAnsi="Times New Roman"/>
          <w:color w:val="444444"/>
          <w:sz w:val="27"/>
          <w:szCs w:val="27"/>
          <w:lang w:eastAsia="es-ES"/>
        </w:rPr>
      </w:pPr>
      <w:r w:rsidRPr="00685182">
        <w:rPr>
          <w:rFonts w:ascii="Times New Roman" w:eastAsia="Times New Roman" w:hAnsi="Times New Roman"/>
          <w:color w:val="444444"/>
          <w:sz w:val="27"/>
          <w:szCs w:val="27"/>
          <w:lang w:eastAsia="es-ES"/>
        </w:rPr>
        <w:t>A fin de facilitar la labor de los operadores económicos al cumplimentar el DEUC, los Estados miembros podrán publicar orientaciones sobre la utilización de dicho documento, por ejemplo, para explicar qué disposiciones del Derecho nacional son pertinentes en relación con la parte III, sección A</w:t>
      </w:r>
      <w:hyperlink r:id="rId8" w:anchor="ntr1-L_2016003ES.01001801-E0001" w:history="1">
        <w:r w:rsidRPr="00685182">
          <w:rPr>
            <w:rFonts w:ascii="Times New Roman" w:eastAsia="Times New Roman" w:hAnsi="Times New Roman"/>
            <w:color w:val="0000FF"/>
            <w:sz w:val="27"/>
            <w:szCs w:val="27"/>
            <w:u w:val="single"/>
            <w:lang w:eastAsia="es-ES"/>
          </w:rPr>
          <w:t> (</w:t>
        </w:r>
        <w:r w:rsidRPr="00685182">
          <w:rPr>
            <w:rFonts w:ascii="Times New Roman" w:eastAsia="Times New Roman" w:hAnsi="Times New Roman"/>
            <w:color w:val="0000FF"/>
            <w:sz w:val="19"/>
            <w:szCs w:val="19"/>
            <w:u w:val="single"/>
            <w:vertAlign w:val="superscript"/>
            <w:lang w:eastAsia="es-ES"/>
          </w:rPr>
          <w:t>1</w:t>
        </w:r>
        <w:r w:rsidRPr="00685182">
          <w:rPr>
            <w:rFonts w:ascii="Times New Roman" w:eastAsia="Times New Roman" w:hAnsi="Times New Roman"/>
            <w:color w:val="0000FF"/>
            <w:sz w:val="27"/>
            <w:szCs w:val="27"/>
            <w:u w:val="single"/>
            <w:lang w:eastAsia="es-ES"/>
          </w:rPr>
          <w:t>)</w:t>
        </w:r>
      </w:hyperlink>
      <w:r w:rsidRPr="00685182">
        <w:rPr>
          <w:rFonts w:ascii="Times New Roman" w:eastAsia="Times New Roman" w:hAnsi="Times New Roman"/>
          <w:color w:val="444444"/>
          <w:sz w:val="27"/>
          <w:szCs w:val="27"/>
          <w:lang w:eastAsia="es-ES"/>
        </w:rPr>
        <w:t>, precisar que en un Estado miembro dado podrían no confeccionarse listas oficiales de operadores económicos autorizados o expedirse certificados equivalentes, o especificar qué referencias e información deberán proporcionarse para permitir a los poderes o las entidades adjudicadores obtener un determinado certificado por vía electrónica.</w:t>
      </w:r>
    </w:p>
    <w:p w:rsidR="00CB404A" w:rsidRPr="00685182" w:rsidRDefault="00CB404A" w:rsidP="00CB404A">
      <w:pPr>
        <w:shd w:val="clear" w:color="auto" w:fill="EEEEEE"/>
        <w:spacing w:before="120" w:after="0" w:line="312" w:lineRule="atLeast"/>
        <w:jc w:val="both"/>
        <w:rPr>
          <w:rFonts w:ascii="Times New Roman" w:eastAsia="Times New Roman" w:hAnsi="Times New Roman"/>
          <w:color w:val="444444"/>
          <w:sz w:val="27"/>
          <w:szCs w:val="27"/>
          <w:lang w:eastAsia="es-ES"/>
        </w:rPr>
      </w:pPr>
      <w:r w:rsidRPr="00685182">
        <w:rPr>
          <w:rFonts w:ascii="Times New Roman" w:eastAsia="Times New Roman" w:hAnsi="Times New Roman"/>
          <w:color w:val="444444"/>
          <w:sz w:val="27"/>
          <w:szCs w:val="27"/>
          <w:lang w:eastAsia="es-ES"/>
        </w:rPr>
        <w:t>Cuando preparen los pliegos de un determinado procedimiento de contratación, los poderes y las entidades adjudicadores deberán indicar en la convocatoria de licitación, en los pliegos a los que dicha convocatoria haga referencia o en la invitación a confirmar el interés qué información exigirán a los operadores económicos, señalando asimismo expresamente si deberá o no facilitarse la información prevista en las partes II y III</w:t>
      </w:r>
      <w:hyperlink r:id="rId9" w:anchor="ntr2-L_2016003ES.01001801-E0002" w:history="1">
        <w:r w:rsidRPr="00685182">
          <w:rPr>
            <w:rFonts w:ascii="Times New Roman" w:eastAsia="Times New Roman" w:hAnsi="Times New Roman"/>
            <w:color w:val="0000FF"/>
            <w:sz w:val="27"/>
            <w:szCs w:val="27"/>
            <w:u w:val="single"/>
            <w:lang w:eastAsia="es-ES"/>
          </w:rPr>
          <w:t> (</w:t>
        </w:r>
        <w:r w:rsidRPr="00685182">
          <w:rPr>
            <w:rFonts w:ascii="Times New Roman" w:eastAsia="Times New Roman" w:hAnsi="Times New Roman"/>
            <w:color w:val="0000FF"/>
            <w:sz w:val="19"/>
            <w:szCs w:val="19"/>
            <w:u w:val="single"/>
            <w:vertAlign w:val="superscript"/>
            <w:lang w:eastAsia="es-ES"/>
          </w:rPr>
          <w:t>2</w:t>
        </w:r>
        <w:r w:rsidRPr="00685182">
          <w:rPr>
            <w:rFonts w:ascii="Times New Roman" w:eastAsia="Times New Roman" w:hAnsi="Times New Roman"/>
            <w:color w:val="0000FF"/>
            <w:sz w:val="27"/>
            <w:szCs w:val="27"/>
            <w:u w:val="single"/>
            <w:lang w:eastAsia="es-ES"/>
          </w:rPr>
          <w:t>)</w:t>
        </w:r>
      </w:hyperlink>
      <w:r w:rsidRPr="00685182">
        <w:rPr>
          <w:rFonts w:ascii="Times New Roman" w:eastAsia="Times New Roman" w:hAnsi="Times New Roman"/>
          <w:color w:val="444444"/>
          <w:sz w:val="27"/>
          <w:szCs w:val="27"/>
          <w:lang w:eastAsia="es-ES"/>
        </w:rPr>
        <w:t xml:space="preserve"> en relación con los subcontratistas a cuya capacidad el operador económico </w:t>
      </w:r>
      <w:r w:rsidRPr="00685182">
        <w:rPr>
          <w:rFonts w:ascii="Times New Roman" w:eastAsia="Times New Roman" w:hAnsi="Times New Roman"/>
          <w:b/>
          <w:bCs/>
          <w:color w:val="444444"/>
          <w:sz w:val="27"/>
          <w:szCs w:val="27"/>
          <w:lang w:eastAsia="es-ES"/>
        </w:rPr>
        <w:t>no</w:t>
      </w:r>
      <w:r w:rsidRPr="00685182">
        <w:rPr>
          <w:rFonts w:ascii="Times New Roman" w:eastAsia="Times New Roman" w:hAnsi="Times New Roman"/>
          <w:color w:val="444444"/>
          <w:sz w:val="27"/>
          <w:szCs w:val="27"/>
          <w:lang w:eastAsia="es-ES"/>
        </w:rPr>
        <w:t xml:space="preserve"> precise recurrir</w:t>
      </w:r>
      <w:hyperlink r:id="rId10" w:anchor="ntr3-L_2016003ES.01001801-E0003" w:history="1">
        <w:r w:rsidRPr="00685182">
          <w:rPr>
            <w:rFonts w:ascii="Times New Roman" w:eastAsia="Times New Roman" w:hAnsi="Times New Roman"/>
            <w:color w:val="0000FF"/>
            <w:sz w:val="27"/>
            <w:szCs w:val="27"/>
            <w:u w:val="single"/>
            <w:lang w:eastAsia="es-ES"/>
          </w:rPr>
          <w:t> (</w:t>
        </w:r>
        <w:r w:rsidRPr="00685182">
          <w:rPr>
            <w:rFonts w:ascii="Times New Roman" w:eastAsia="Times New Roman" w:hAnsi="Times New Roman"/>
            <w:color w:val="0000FF"/>
            <w:sz w:val="19"/>
            <w:szCs w:val="19"/>
            <w:u w:val="single"/>
            <w:vertAlign w:val="superscript"/>
            <w:lang w:eastAsia="es-ES"/>
          </w:rPr>
          <w:t>3</w:t>
        </w:r>
        <w:r w:rsidRPr="00685182">
          <w:rPr>
            <w:rFonts w:ascii="Times New Roman" w:eastAsia="Times New Roman" w:hAnsi="Times New Roman"/>
            <w:color w:val="0000FF"/>
            <w:sz w:val="27"/>
            <w:szCs w:val="27"/>
            <w:u w:val="single"/>
            <w:lang w:eastAsia="es-ES"/>
          </w:rPr>
          <w:t>)</w:t>
        </w:r>
      </w:hyperlink>
      <w:r w:rsidRPr="00685182">
        <w:rPr>
          <w:rFonts w:ascii="Times New Roman" w:eastAsia="Times New Roman" w:hAnsi="Times New Roman"/>
          <w:color w:val="444444"/>
          <w:sz w:val="27"/>
          <w:szCs w:val="27"/>
          <w:lang w:eastAsia="es-ES"/>
        </w:rPr>
        <w:t xml:space="preserve">. También pueden facilitar la tarea de los operadores económicos ofreciendo directamente esta información en una versión electrónica del DEUC, por ejemplo, utilizando el servicio DEUC </w:t>
      </w:r>
      <w:r w:rsidR="00AC4986">
        <w:rPr>
          <w:rFonts w:ascii="Times New Roman" w:eastAsia="Times New Roman" w:hAnsi="Times New Roman"/>
          <w:color w:val="444444"/>
          <w:sz w:val="27"/>
          <w:szCs w:val="27"/>
          <w:lang w:eastAsia="es-ES"/>
        </w:rPr>
        <w:t>(</w:t>
      </w:r>
      <w:hyperlink r:id="rId11" w:anchor="ntr4-L_2016003ES.01001801-E0004" w:history="1">
        <w:r w:rsidR="00AC4986" w:rsidRPr="0017458F">
          <w:rPr>
            <w:rStyle w:val="Hipervnculo"/>
            <w:rFonts w:ascii="Times New Roman" w:eastAsia="Times New Roman" w:hAnsi="Times New Roman"/>
            <w:sz w:val="27"/>
            <w:szCs w:val="27"/>
            <w:lang w:eastAsia="es-ES"/>
          </w:rPr>
          <w:t>https://eur-lex.europa.eu/legal-</w:t>
        </w:r>
        <w:r w:rsidR="00AC4986" w:rsidRPr="0017458F">
          <w:rPr>
            <w:rStyle w:val="Hipervnculo"/>
            <w:rFonts w:ascii="Times New Roman" w:eastAsia="Times New Roman" w:hAnsi="Times New Roman"/>
            <w:sz w:val="27"/>
            <w:szCs w:val="27"/>
            <w:lang w:eastAsia="es-ES"/>
          </w:rPr>
          <w:lastRenderedPageBreak/>
          <w:t>content/ES/TXT/?uri=uriserv:OJ.L_.2016.003.01.0016.01.SPA&amp;toc=OJ:L:2016:003:TOC#ntr4-L_2016003ES.01001801-E0004</w:t>
        </w:r>
      </w:hyperlink>
      <w:r w:rsidR="0043470E">
        <w:rPr>
          <w:rFonts w:ascii="Times New Roman" w:eastAsia="Times New Roman" w:hAnsi="Times New Roman"/>
          <w:color w:val="444444"/>
          <w:sz w:val="27"/>
          <w:szCs w:val="27"/>
          <w:lang w:eastAsia="es-ES"/>
        </w:rPr>
        <w:t xml:space="preserve"> </w:t>
      </w:r>
      <w:hyperlink r:id="rId12" w:anchor="ntr4-L_2016003ES.01001801-E0004" w:history="1">
        <w:r w:rsidR="0043470E" w:rsidRPr="00685182">
          <w:rPr>
            <w:rFonts w:ascii="Times New Roman" w:eastAsia="Times New Roman" w:hAnsi="Times New Roman"/>
            <w:color w:val="0000FF"/>
            <w:sz w:val="27"/>
            <w:szCs w:val="27"/>
            <w:u w:val="single"/>
            <w:lang w:eastAsia="es-ES"/>
          </w:rPr>
          <w:t>(</w:t>
        </w:r>
        <w:r w:rsidR="0043470E" w:rsidRPr="00685182">
          <w:rPr>
            <w:rFonts w:ascii="Times New Roman" w:eastAsia="Times New Roman" w:hAnsi="Times New Roman"/>
            <w:color w:val="0000FF"/>
            <w:sz w:val="19"/>
            <w:szCs w:val="19"/>
            <w:u w:val="single"/>
            <w:vertAlign w:val="superscript"/>
            <w:lang w:eastAsia="es-ES"/>
          </w:rPr>
          <w:t>4</w:t>
        </w:r>
        <w:r w:rsidR="0043470E" w:rsidRPr="00685182">
          <w:rPr>
            <w:rFonts w:ascii="Times New Roman" w:eastAsia="Times New Roman" w:hAnsi="Times New Roman"/>
            <w:color w:val="0000FF"/>
            <w:sz w:val="27"/>
            <w:szCs w:val="27"/>
            <w:u w:val="single"/>
            <w:lang w:eastAsia="es-ES"/>
          </w:rPr>
          <w:t>)</w:t>
        </w:r>
      </w:hyperlink>
      <w:r w:rsidR="00AC4986">
        <w:rPr>
          <w:rFonts w:ascii="Times New Roman" w:eastAsia="Times New Roman" w:hAnsi="Times New Roman"/>
          <w:color w:val="0000FF"/>
          <w:sz w:val="27"/>
          <w:szCs w:val="27"/>
          <w:u w:val="single"/>
          <w:lang w:eastAsia="es-ES"/>
        </w:rPr>
        <w:t xml:space="preserve">) </w:t>
      </w:r>
      <w:r w:rsidRPr="00685182">
        <w:rPr>
          <w:rFonts w:ascii="Times New Roman" w:eastAsia="Times New Roman" w:hAnsi="Times New Roman"/>
          <w:color w:val="444444"/>
          <w:sz w:val="27"/>
          <w:szCs w:val="27"/>
          <w:lang w:eastAsia="es-ES"/>
        </w:rPr>
        <w:t>que los servicios de la Comisión pondrán, de forma gratuita, a disposición de los poderes adjudicadores, las entidades adjudicadoras, los operadores económicos, los proveedores de servicios electrónicos y demás partes interesadas.</w:t>
      </w:r>
    </w:p>
    <w:p w:rsidR="00CB404A" w:rsidRPr="00685182" w:rsidRDefault="00CB404A" w:rsidP="00CB404A">
      <w:pPr>
        <w:shd w:val="clear" w:color="auto" w:fill="EEEEEE"/>
        <w:spacing w:before="120" w:after="0" w:line="312" w:lineRule="atLeast"/>
        <w:jc w:val="both"/>
        <w:rPr>
          <w:rFonts w:ascii="Times New Roman" w:eastAsia="Times New Roman" w:hAnsi="Times New Roman"/>
          <w:color w:val="444444"/>
          <w:sz w:val="27"/>
          <w:szCs w:val="27"/>
          <w:lang w:eastAsia="es-ES"/>
        </w:rPr>
      </w:pPr>
      <w:r w:rsidRPr="00685182">
        <w:rPr>
          <w:rFonts w:ascii="Times New Roman" w:eastAsia="Times New Roman" w:hAnsi="Times New Roman"/>
          <w:color w:val="444444"/>
          <w:sz w:val="27"/>
          <w:szCs w:val="27"/>
          <w:lang w:eastAsia="es-ES"/>
        </w:rPr>
        <w:t>Las licitaciones de procedimiento abierto y las solicitudes de participación en procedimientos restringidos, procedimientos de licitación con negociación, diálogos competitivos o asociaciones para la innovación deben ir acompañadas del DEUC, que los operadores económicos habrán cumplimentado al objeto de facilitar la información requerida</w:t>
      </w:r>
      <w:hyperlink r:id="rId13" w:anchor="ntr5-L_2016003ES.01001801-E0005" w:history="1">
        <w:r w:rsidRPr="00685182">
          <w:rPr>
            <w:rFonts w:ascii="Times New Roman" w:eastAsia="Times New Roman" w:hAnsi="Times New Roman"/>
            <w:color w:val="0000FF"/>
            <w:sz w:val="27"/>
            <w:szCs w:val="27"/>
            <w:u w:val="single"/>
            <w:lang w:eastAsia="es-ES"/>
          </w:rPr>
          <w:t> (</w:t>
        </w:r>
        <w:r w:rsidRPr="00685182">
          <w:rPr>
            <w:rFonts w:ascii="Times New Roman" w:eastAsia="Times New Roman" w:hAnsi="Times New Roman"/>
            <w:color w:val="0000FF"/>
            <w:sz w:val="19"/>
            <w:szCs w:val="19"/>
            <w:u w:val="single"/>
            <w:vertAlign w:val="superscript"/>
            <w:lang w:eastAsia="es-ES"/>
          </w:rPr>
          <w:t>5</w:t>
        </w:r>
        <w:r w:rsidRPr="00685182">
          <w:rPr>
            <w:rFonts w:ascii="Times New Roman" w:eastAsia="Times New Roman" w:hAnsi="Times New Roman"/>
            <w:color w:val="0000FF"/>
            <w:sz w:val="27"/>
            <w:szCs w:val="27"/>
            <w:u w:val="single"/>
            <w:lang w:eastAsia="es-ES"/>
          </w:rPr>
          <w:t>)</w:t>
        </w:r>
      </w:hyperlink>
      <w:r w:rsidRPr="00685182">
        <w:rPr>
          <w:rFonts w:ascii="Times New Roman" w:eastAsia="Times New Roman" w:hAnsi="Times New Roman"/>
          <w:color w:val="444444"/>
          <w:sz w:val="27"/>
          <w:szCs w:val="27"/>
          <w:lang w:eastAsia="es-ES"/>
        </w:rPr>
        <w:t>. Excepto en el caso de determinados contratos basados en acuerdos marco, el licitador a quien se vaya a adjudicar el contrato deberá presentar certificados actualizados y documentos justificativos.</w:t>
      </w:r>
    </w:p>
    <w:p w:rsidR="00CB404A" w:rsidRPr="00685182" w:rsidRDefault="00CB404A" w:rsidP="00CB404A">
      <w:pPr>
        <w:shd w:val="clear" w:color="auto" w:fill="EEEEEE"/>
        <w:spacing w:before="120" w:after="0" w:line="312" w:lineRule="atLeast"/>
        <w:jc w:val="both"/>
        <w:rPr>
          <w:rFonts w:ascii="Times New Roman" w:eastAsia="Times New Roman" w:hAnsi="Times New Roman"/>
          <w:color w:val="444444"/>
          <w:sz w:val="27"/>
          <w:szCs w:val="27"/>
          <w:lang w:eastAsia="es-ES"/>
        </w:rPr>
      </w:pPr>
      <w:r w:rsidRPr="00685182">
        <w:rPr>
          <w:rFonts w:ascii="Times New Roman" w:eastAsia="Times New Roman" w:hAnsi="Times New Roman"/>
          <w:color w:val="444444"/>
          <w:sz w:val="27"/>
          <w:szCs w:val="27"/>
          <w:lang w:eastAsia="es-ES"/>
        </w:rPr>
        <w:t>Los Estados miembros podrán determinar por vía reglamentaria, o dejar que los poderes y las entidades adjudicadores decidan, si el DEUC debe también utilizarse en el marco de procedimientos de contratación que no estén sujetos o solo estén sujetos parcialmente a las normas procedimentales de las Directivas 2014/24/UE o 2014/25/UE, por ejemplo, para los contratos que se sitúen por debajo de los umbrales pertinentes o aquellos que estén sujetos a las normas particulares aplicables a los servicios sociales y otros servicios específicos («régimen simplificado»)</w:t>
      </w:r>
      <w:hyperlink r:id="rId14" w:anchor="ntr6-L_2016003ES.01001801-E0006" w:history="1">
        <w:r w:rsidRPr="00685182">
          <w:rPr>
            <w:rFonts w:ascii="Times New Roman" w:eastAsia="Times New Roman" w:hAnsi="Times New Roman"/>
            <w:color w:val="0000FF"/>
            <w:sz w:val="27"/>
            <w:szCs w:val="27"/>
            <w:u w:val="single"/>
            <w:lang w:eastAsia="es-ES"/>
          </w:rPr>
          <w:t> (</w:t>
        </w:r>
        <w:r w:rsidRPr="00685182">
          <w:rPr>
            <w:rFonts w:ascii="Times New Roman" w:eastAsia="Times New Roman" w:hAnsi="Times New Roman"/>
            <w:color w:val="0000FF"/>
            <w:sz w:val="19"/>
            <w:szCs w:val="19"/>
            <w:u w:val="single"/>
            <w:vertAlign w:val="superscript"/>
            <w:lang w:eastAsia="es-ES"/>
          </w:rPr>
          <w:t>6</w:t>
        </w:r>
        <w:r w:rsidRPr="00685182">
          <w:rPr>
            <w:rFonts w:ascii="Times New Roman" w:eastAsia="Times New Roman" w:hAnsi="Times New Roman"/>
            <w:color w:val="0000FF"/>
            <w:sz w:val="27"/>
            <w:szCs w:val="27"/>
            <w:u w:val="single"/>
            <w:lang w:eastAsia="es-ES"/>
          </w:rPr>
          <w:t>)</w:t>
        </w:r>
      </w:hyperlink>
      <w:r w:rsidRPr="00685182">
        <w:rPr>
          <w:rFonts w:ascii="Times New Roman" w:eastAsia="Times New Roman" w:hAnsi="Times New Roman"/>
          <w:color w:val="444444"/>
          <w:sz w:val="27"/>
          <w:szCs w:val="27"/>
          <w:lang w:eastAsia="es-ES"/>
        </w:rPr>
        <w:t>. Del mismo modo, los Estados miembros podrán determinar por vía reglamentaria, o dejar que los poderes y las entidades adjudicadores decidan, si el DEUC debe utilizarse también en relación con la adjudicación de contratos de concesión, independientemente de que estén sujetos o no a las disposiciones de la Directiva 2014/23/UE</w:t>
      </w:r>
      <w:hyperlink r:id="rId15" w:anchor="ntr7-L_2016003ES.01001801-E0007" w:history="1">
        <w:r w:rsidRPr="00685182">
          <w:rPr>
            <w:rFonts w:ascii="Times New Roman" w:eastAsia="Times New Roman" w:hAnsi="Times New Roman"/>
            <w:color w:val="0000FF"/>
            <w:sz w:val="27"/>
            <w:szCs w:val="27"/>
            <w:u w:val="single"/>
            <w:lang w:eastAsia="es-ES"/>
          </w:rPr>
          <w:t> (</w:t>
        </w:r>
        <w:r w:rsidRPr="00685182">
          <w:rPr>
            <w:rFonts w:ascii="Times New Roman" w:eastAsia="Times New Roman" w:hAnsi="Times New Roman"/>
            <w:color w:val="0000FF"/>
            <w:sz w:val="19"/>
            <w:szCs w:val="19"/>
            <w:u w:val="single"/>
            <w:vertAlign w:val="superscript"/>
            <w:lang w:eastAsia="es-ES"/>
          </w:rPr>
          <w:t>7</w:t>
        </w:r>
        <w:r w:rsidRPr="00685182">
          <w:rPr>
            <w:rFonts w:ascii="Times New Roman" w:eastAsia="Times New Roman" w:hAnsi="Times New Roman"/>
            <w:color w:val="0000FF"/>
            <w:sz w:val="27"/>
            <w:szCs w:val="27"/>
            <w:u w:val="single"/>
            <w:lang w:eastAsia="es-ES"/>
          </w:rPr>
          <w:t>)</w:t>
        </w:r>
      </w:hyperlink>
      <w:r w:rsidRPr="00685182">
        <w:rPr>
          <w:rFonts w:ascii="Times New Roman" w:eastAsia="Times New Roman" w:hAnsi="Times New Roman"/>
          <w:color w:val="444444"/>
          <w:sz w:val="27"/>
          <w:szCs w:val="27"/>
          <w:lang w:eastAsia="es-ES"/>
        </w:rPr>
        <w:t>.</w:t>
      </w:r>
    </w:p>
    <w:p w:rsidR="00CB404A" w:rsidRPr="00685182" w:rsidRDefault="00CB404A" w:rsidP="00CB404A">
      <w:pPr>
        <w:shd w:val="clear" w:color="auto" w:fill="EEEEEE"/>
        <w:spacing w:before="120" w:after="0" w:line="312" w:lineRule="atLeast"/>
        <w:jc w:val="both"/>
        <w:rPr>
          <w:rFonts w:ascii="Times New Roman" w:eastAsia="Times New Roman" w:hAnsi="Times New Roman"/>
          <w:color w:val="444444"/>
          <w:sz w:val="27"/>
          <w:szCs w:val="27"/>
          <w:lang w:eastAsia="es-ES"/>
        </w:rPr>
      </w:pPr>
      <w:r w:rsidRPr="00685182">
        <w:rPr>
          <w:rFonts w:ascii="Times New Roman" w:eastAsia="Times New Roman" w:hAnsi="Times New Roman"/>
          <w:color w:val="444444"/>
          <w:sz w:val="27"/>
          <w:szCs w:val="27"/>
          <w:lang w:eastAsia="es-ES"/>
        </w:rPr>
        <w:t>El poder adjudicador o la entidad adjudicadora podrán pedir a los licitadores que presenten la totalidad o una parte de los certificados y los documentos justificativos requeridos en cualquier momento del procedimiento, cuando resulte necesario para garantizar el buen desarrollo del mismo.</w:t>
      </w:r>
    </w:p>
    <w:p w:rsidR="00CB404A" w:rsidRPr="00685182" w:rsidRDefault="00CB404A" w:rsidP="00CB404A">
      <w:pPr>
        <w:shd w:val="clear" w:color="auto" w:fill="EEEEEE"/>
        <w:spacing w:before="120" w:after="0" w:line="312" w:lineRule="atLeast"/>
        <w:jc w:val="both"/>
        <w:rPr>
          <w:rFonts w:ascii="Times New Roman" w:eastAsia="Times New Roman" w:hAnsi="Times New Roman"/>
          <w:color w:val="444444"/>
          <w:sz w:val="27"/>
          <w:szCs w:val="27"/>
          <w:lang w:eastAsia="es-ES"/>
        </w:rPr>
      </w:pPr>
      <w:r w:rsidRPr="00685182">
        <w:rPr>
          <w:rFonts w:ascii="Times New Roman" w:eastAsia="Times New Roman" w:hAnsi="Times New Roman"/>
          <w:color w:val="444444"/>
          <w:sz w:val="27"/>
          <w:szCs w:val="27"/>
          <w:lang w:eastAsia="es-ES"/>
        </w:rPr>
        <w:t>Los operadores económicos pueden ser excluidos del procedimiento de contratación, o ser objeto de enjuiciamiento con arreglo a la legislación nacional, en caso de que incurran en declaraciones falsas de carácter grave al cumplimentar el DEUC o, en general, al facilitar la información exigida para verificar que no existen motivos de exclusión o que se cumplen los criterios de selección, o en caso de que oculten tal información o no puedan presentar los documentos justificativos.</w:t>
      </w:r>
    </w:p>
    <w:p w:rsidR="00CB404A" w:rsidRPr="00685182" w:rsidRDefault="00CB404A" w:rsidP="00CB404A">
      <w:pPr>
        <w:shd w:val="clear" w:color="auto" w:fill="EEEEEE"/>
        <w:spacing w:before="120" w:after="0" w:line="312" w:lineRule="atLeast"/>
        <w:jc w:val="both"/>
        <w:rPr>
          <w:rFonts w:ascii="Times New Roman" w:eastAsia="Times New Roman" w:hAnsi="Times New Roman"/>
          <w:color w:val="444444"/>
          <w:sz w:val="27"/>
          <w:szCs w:val="27"/>
          <w:lang w:eastAsia="es-ES"/>
        </w:rPr>
      </w:pPr>
      <w:r w:rsidRPr="00685182">
        <w:rPr>
          <w:rFonts w:ascii="Times New Roman" w:eastAsia="Times New Roman" w:hAnsi="Times New Roman"/>
          <w:color w:val="444444"/>
          <w:sz w:val="27"/>
          <w:szCs w:val="27"/>
          <w:lang w:eastAsia="es-ES"/>
        </w:rPr>
        <w:t>Los operadores económicos pueden volver a utilizar la información facilitada en un DEUC que hayan empleado en un procedimiento de contratación anterior siempre que la información sea correcta y siga siendo pertinente. Para ello lo más fácil es insertar la información en el nuevo DEUC haciendo uso de las funciones apropiadas que incluye a tal efecto el servicio DEUC electrónico antes mencionado. Por supuesto, también será posible reutilizar información a través de otras modalidades para copiar y pegar datos, por ejemplo los datos almacenados en el equipo informático del operador económico (ordenadores personales, tabletas, servidores, etc.).</w:t>
      </w:r>
    </w:p>
    <w:p w:rsidR="00CB404A" w:rsidRPr="00685182" w:rsidRDefault="00CB404A" w:rsidP="00CB404A">
      <w:pPr>
        <w:shd w:val="clear" w:color="auto" w:fill="EEEEEE"/>
        <w:spacing w:before="120" w:after="0" w:line="312" w:lineRule="atLeast"/>
        <w:jc w:val="both"/>
        <w:rPr>
          <w:rFonts w:ascii="Times New Roman" w:eastAsia="Times New Roman" w:hAnsi="Times New Roman"/>
          <w:color w:val="444444"/>
          <w:sz w:val="27"/>
          <w:szCs w:val="27"/>
          <w:lang w:eastAsia="es-ES"/>
        </w:rPr>
      </w:pPr>
      <w:r w:rsidRPr="00685182">
        <w:rPr>
          <w:rFonts w:ascii="Times New Roman" w:eastAsia="Times New Roman" w:hAnsi="Times New Roman"/>
          <w:color w:val="444444"/>
          <w:sz w:val="27"/>
          <w:szCs w:val="27"/>
          <w:lang w:eastAsia="es-ES"/>
        </w:rPr>
        <w:t>Con arreglo al artículo 59, apartado 2, párrafo segundo, de la Directiva 2014/24/UE, el DEUC se presentará exclusivamente en formato electrónico, lo cual puede, sin embargo, aplazarse hasta el 18 de abril de 2018 a más tardar</w:t>
      </w:r>
      <w:hyperlink r:id="rId16" w:anchor="ntr8-L_2016003ES.01001801-E0008" w:history="1">
        <w:r w:rsidRPr="00685182">
          <w:rPr>
            <w:rFonts w:ascii="Times New Roman" w:eastAsia="Times New Roman" w:hAnsi="Times New Roman"/>
            <w:color w:val="0000FF"/>
            <w:sz w:val="27"/>
            <w:szCs w:val="27"/>
            <w:u w:val="single"/>
            <w:lang w:eastAsia="es-ES"/>
          </w:rPr>
          <w:t> (</w:t>
        </w:r>
        <w:r w:rsidRPr="00685182">
          <w:rPr>
            <w:rFonts w:ascii="Times New Roman" w:eastAsia="Times New Roman" w:hAnsi="Times New Roman"/>
            <w:color w:val="0000FF"/>
            <w:sz w:val="19"/>
            <w:szCs w:val="19"/>
            <w:u w:val="single"/>
            <w:vertAlign w:val="superscript"/>
            <w:lang w:eastAsia="es-ES"/>
          </w:rPr>
          <w:t>8</w:t>
        </w:r>
        <w:r w:rsidRPr="00685182">
          <w:rPr>
            <w:rFonts w:ascii="Times New Roman" w:eastAsia="Times New Roman" w:hAnsi="Times New Roman"/>
            <w:color w:val="0000FF"/>
            <w:sz w:val="27"/>
            <w:szCs w:val="27"/>
            <w:u w:val="single"/>
            <w:lang w:eastAsia="es-ES"/>
          </w:rPr>
          <w:t>)</w:t>
        </w:r>
      </w:hyperlink>
      <w:r w:rsidRPr="00685182">
        <w:rPr>
          <w:rFonts w:ascii="Times New Roman" w:eastAsia="Times New Roman" w:hAnsi="Times New Roman"/>
          <w:color w:val="444444"/>
          <w:sz w:val="27"/>
          <w:szCs w:val="27"/>
          <w:lang w:eastAsia="es-ES"/>
        </w:rPr>
        <w:t xml:space="preserve">. Esto significa que, hasta el 18 de abril de 2018 a más tardar, podrán coexistir las versiones totalmente electrónicas y las versiones en papel del DEUC. El mencionado servicio DEUC permitirá a los operadores económicos cumplimentar el documento por vía electrónica en </w:t>
      </w:r>
      <w:r w:rsidRPr="00685182">
        <w:rPr>
          <w:rFonts w:ascii="Times New Roman" w:eastAsia="Times New Roman" w:hAnsi="Times New Roman"/>
          <w:b/>
          <w:bCs/>
          <w:color w:val="444444"/>
          <w:sz w:val="27"/>
          <w:szCs w:val="27"/>
          <w:lang w:eastAsia="es-ES"/>
        </w:rPr>
        <w:t>todos los casos</w:t>
      </w:r>
      <w:r w:rsidRPr="00685182">
        <w:rPr>
          <w:rFonts w:ascii="Times New Roman" w:eastAsia="Times New Roman" w:hAnsi="Times New Roman"/>
          <w:color w:val="444444"/>
          <w:sz w:val="27"/>
          <w:szCs w:val="27"/>
          <w:lang w:eastAsia="es-ES"/>
        </w:rPr>
        <w:t xml:space="preserve"> y aprovechar así plenamente las ventajas del servicio ofrecido (en particular, la de reutilizar la información). Con vistas a los procedimientos de contratación en los que el uso de medios de comunicación electrónicos se haya aplazado, el servicio DEUC permite a los operadores económicos imprimir el documento cumplimentado electrónicamente para disponer de un documento en papel que puede seguidamente transmitirse a los poderes o entidades adjudicadores por medios de comunicación distintos de los electrónicos (esto será posible también hasta el 18 de abril de 2018 a más tardar)</w:t>
      </w:r>
      <w:hyperlink r:id="rId17" w:anchor="ntr9-L_2016003ES.01001801-E0009" w:history="1">
        <w:r w:rsidRPr="00685182">
          <w:rPr>
            <w:rFonts w:ascii="Times New Roman" w:eastAsia="Times New Roman" w:hAnsi="Times New Roman"/>
            <w:color w:val="0000FF"/>
            <w:sz w:val="27"/>
            <w:szCs w:val="27"/>
            <w:u w:val="single"/>
            <w:lang w:eastAsia="es-ES"/>
          </w:rPr>
          <w:t> (</w:t>
        </w:r>
        <w:r w:rsidRPr="00685182">
          <w:rPr>
            <w:rFonts w:ascii="Times New Roman" w:eastAsia="Times New Roman" w:hAnsi="Times New Roman"/>
            <w:color w:val="0000FF"/>
            <w:sz w:val="19"/>
            <w:szCs w:val="19"/>
            <w:u w:val="single"/>
            <w:vertAlign w:val="superscript"/>
            <w:lang w:eastAsia="es-ES"/>
          </w:rPr>
          <w:t>9</w:t>
        </w:r>
        <w:r w:rsidRPr="00685182">
          <w:rPr>
            <w:rFonts w:ascii="Times New Roman" w:eastAsia="Times New Roman" w:hAnsi="Times New Roman"/>
            <w:color w:val="0000FF"/>
            <w:sz w:val="27"/>
            <w:szCs w:val="27"/>
            <w:u w:val="single"/>
            <w:lang w:eastAsia="es-ES"/>
          </w:rPr>
          <w:t>)</w:t>
        </w:r>
      </w:hyperlink>
      <w:r w:rsidRPr="00685182">
        <w:rPr>
          <w:rFonts w:ascii="Times New Roman" w:eastAsia="Times New Roman" w:hAnsi="Times New Roman"/>
          <w:color w:val="444444"/>
          <w:sz w:val="27"/>
          <w:szCs w:val="27"/>
          <w:lang w:eastAsia="es-ES"/>
        </w:rPr>
        <w:t>.</w:t>
      </w:r>
    </w:p>
    <w:p w:rsidR="00CB404A" w:rsidRPr="00685182" w:rsidRDefault="00CB404A" w:rsidP="00CB404A">
      <w:pPr>
        <w:shd w:val="clear" w:color="auto" w:fill="EEEEEE"/>
        <w:spacing w:before="120" w:after="0" w:line="312" w:lineRule="atLeast"/>
        <w:jc w:val="both"/>
        <w:rPr>
          <w:rFonts w:ascii="Times New Roman" w:eastAsia="Times New Roman" w:hAnsi="Times New Roman"/>
          <w:color w:val="444444"/>
          <w:sz w:val="27"/>
          <w:szCs w:val="27"/>
          <w:lang w:eastAsia="es-ES"/>
        </w:rPr>
      </w:pPr>
      <w:r w:rsidRPr="00685182">
        <w:rPr>
          <w:rFonts w:ascii="Times New Roman" w:eastAsia="Times New Roman" w:hAnsi="Times New Roman"/>
          <w:color w:val="444444"/>
          <w:sz w:val="27"/>
          <w:szCs w:val="27"/>
          <w:lang w:eastAsia="es-ES"/>
        </w:rPr>
        <w:t>Tal como se ha señalado anteriormente, el DEUC consiste en una declaración formal del operador económico, que indica que no son de aplicación los motivos de exclusión pertinentes, que se cumplen los criterios de selección pertinentes y que facilitará la información pertinente exigida por el poder adjudicador o la entidad adjudicadora.</w:t>
      </w:r>
    </w:p>
    <w:p w:rsidR="00CB404A" w:rsidRPr="00685182" w:rsidRDefault="00CB404A" w:rsidP="00CB404A">
      <w:pPr>
        <w:shd w:val="clear" w:color="auto" w:fill="EEEEEE"/>
        <w:spacing w:before="120" w:after="0" w:line="312" w:lineRule="atLeast"/>
        <w:jc w:val="both"/>
        <w:rPr>
          <w:rFonts w:ascii="Times New Roman" w:eastAsia="Times New Roman" w:hAnsi="Times New Roman"/>
          <w:color w:val="444444"/>
          <w:sz w:val="27"/>
          <w:szCs w:val="27"/>
          <w:lang w:eastAsia="es-ES"/>
        </w:rPr>
      </w:pPr>
      <w:r w:rsidRPr="00685182">
        <w:rPr>
          <w:rFonts w:ascii="Times New Roman" w:eastAsia="Times New Roman" w:hAnsi="Times New Roman"/>
          <w:color w:val="444444"/>
          <w:sz w:val="27"/>
          <w:szCs w:val="27"/>
          <w:lang w:eastAsia="es-ES"/>
        </w:rPr>
        <w:t xml:space="preserve">Cuando los contratos estén divididos en lotes </w:t>
      </w:r>
      <w:r w:rsidRPr="00685182">
        <w:rPr>
          <w:rFonts w:ascii="Times New Roman" w:eastAsia="Times New Roman" w:hAnsi="Times New Roman"/>
          <w:b/>
          <w:bCs/>
          <w:color w:val="444444"/>
          <w:sz w:val="27"/>
          <w:szCs w:val="27"/>
          <w:lang w:eastAsia="es-ES"/>
        </w:rPr>
        <w:t>y</w:t>
      </w:r>
      <w:r w:rsidRPr="00685182">
        <w:rPr>
          <w:rFonts w:ascii="Times New Roman" w:eastAsia="Times New Roman" w:hAnsi="Times New Roman"/>
          <w:color w:val="444444"/>
          <w:sz w:val="27"/>
          <w:szCs w:val="27"/>
          <w:lang w:eastAsia="es-ES"/>
        </w:rPr>
        <w:t xml:space="preserve"> los criterios de selección varíen de un lote a otro</w:t>
      </w:r>
      <w:hyperlink r:id="rId18" w:anchor="ntr10-L_2016003ES.01001801-E0010" w:history="1">
        <w:r w:rsidRPr="00685182">
          <w:rPr>
            <w:rFonts w:ascii="Times New Roman" w:eastAsia="Times New Roman" w:hAnsi="Times New Roman"/>
            <w:color w:val="0000FF"/>
            <w:sz w:val="27"/>
            <w:szCs w:val="27"/>
            <w:u w:val="single"/>
            <w:lang w:eastAsia="es-ES"/>
          </w:rPr>
          <w:t> (</w:t>
        </w:r>
        <w:r w:rsidRPr="00685182">
          <w:rPr>
            <w:rFonts w:ascii="Times New Roman" w:eastAsia="Times New Roman" w:hAnsi="Times New Roman"/>
            <w:color w:val="0000FF"/>
            <w:sz w:val="19"/>
            <w:szCs w:val="19"/>
            <w:u w:val="single"/>
            <w:vertAlign w:val="superscript"/>
            <w:lang w:eastAsia="es-ES"/>
          </w:rPr>
          <w:t>10</w:t>
        </w:r>
        <w:r w:rsidRPr="00685182">
          <w:rPr>
            <w:rFonts w:ascii="Times New Roman" w:eastAsia="Times New Roman" w:hAnsi="Times New Roman"/>
            <w:color w:val="0000FF"/>
            <w:sz w:val="27"/>
            <w:szCs w:val="27"/>
            <w:u w:val="single"/>
            <w:lang w:eastAsia="es-ES"/>
          </w:rPr>
          <w:t>)</w:t>
        </w:r>
      </w:hyperlink>
      <w:r w:rsidRPr="00685182">
        <w:rPr>
          <w:rFonts w:ascii="Times New Roman" w:eastAsia="Times New Roman" w:hAnsi="Times New Roman"/>
          <w:color w:val="444444"/>
          <w:sz w:val="27"/>
          <w:szCs w:val="27"/>
          <w:lang w:eastAsia="es-ES"/>
        </w:rPr>
        <w:t>, el DEUC deberá cumplimentarse para cada lote (o grupo de lotes al que se apliquen los mismos criterios de selección).</w:t>
      </w:r>
    </w:p>
    <w:p w:rsidR="00CB404A" w:rsidRPr="00685182" w:rsidRDefault="00CB404A" w:rsidP="00CB404A">
      <w:pPr>
        <w:shd w:val="clear" w:color="auto" w:fill="EEEEEE"/>
        <w:spacing w:before="120" w:after="0" w:line="312" w:lineRule="atLeast"/>
        <w:jc w:val="both"/>
        <w:rPr>
          <w:rFonts w:ascii="Times New Roman" w:eastAsia="Times New Roman" w:hAnsi="Times New Roman"/>
          <w:color w:val="444444"/>
          <w:sz w:val="27"/>
          <w:szCs w:val="27"/>
          <w:lang w:eastAsia="es-ES"/>
        </w:rPr>
      </w:pPr>
      <w:r w:rsidRPr="00685182">
        <w:rPr>
          <w:rFonts w:ascii="Times New Roman" w:eastAsia="Times New Roman" w:hAnsi="Times New Roman"/>
          <w:color w:val="444444"/>
          <w:sz w:val="27"/>
          <w:szCs w:val="27"/>
          <w:lang w:eastAsia="es-ES"/>
        </w:rPr>
        <w:t>El DEUC indica además la autoridad pública o el tercero encargado de expedir los documentos justificativos</w:t>
      </w:r>
      <w:hyperlink r:id="rId19" w:anchor="ntr11-L_2016003ES.01001801-E0011" w:history="1">
        <w:r w:rsidRPr="00685182">
          <w:rPr>
            <w:rFonts w:ascii="Times New Roman" w:eastAsia="Times New Roman" w:hAnsi="Times New Roman"/>
            <w:color w:val="0000FF"/>
            <w:sz w:val="27"/>
            <w:szCs w:val="27"/>
            <w:u w:val="single"/>
            <w:lang w:eastAsia="es-ES"/>
          </w:rPr>
          <w:t> (</w:t>
        </w:r>
        <w:r w:rsidRPr="00685182">
          <w:rPr>
            <w:rFonts w:ascii="Times New Roman" w:eastAsia="Times New Roman" w:hAnsi="Times New Roman"/>
            <w:color w:val="0000FF"/>
            <w:sz w:val="19"/>
            <w:szCs w:val="19"/>
            <w:u w:val="single"/>
            <w:vertAlign w:val="superscript"/>
            <w:lang w:eastAsia="es-ES"/>
          </w:rPr>
          <w:t>11</w:t>
        </w:r>
        <w:r w:rsidRPr="00685182">
          <w:rPr>
            <w:rFonts w:ascii="Times New Roman" w:eastAsia="Times New Roman" w:hAnsi="Times New Roman"/>
            <w:color w:val="0000FF"/>
            <w:sz w:val="27"/>
            <w:szCs w:val="27"/>
            <w:u w:val="single"/>
            <w:lang w:eastAsia="es-ES"/>
          </w:rPr>
          <w:t>)</w:t>
        </w:r>
      </w:hyperlink>
      <w:r w:rsidRPr="00685182">
        <w:rPr>
          <w:rFonts w:ascii="Times New Roman" w:eastAsia="Times New Roman" w:hAnsi="Times New Roman"/>
          <w:color w:val="444444"/>
          <w:sz w:val="27"/>
          <w:szCs w:val="27"/>
          <w:lang w:eastAsia="es-ES"/>
        </w:rPr>
        <w:t xml:space="preserve"> e incluye una declaración formal en el sentido de que el operador económico podrá, previa petición y sin demora, facilitar dichos documentos justificativos.</w:t>
      </w:r>
    </w:p>
    <w:p w:rsidR="00CB404A" w:rsidRPr="00685182" w:rsidRDefault="00CB404A" w:rsidP="00CB404A">
      <w:pPr>
        <w:shd w:val="clear" w:color="auto" w:fill="EEEEEE"/>
        <w:spacing w:before="120" w:after="0" w:line="312" w:lineRule="atLeast"/>
        <w:jc w:val="both"/>
        <w:rPr>
          <w:rFonts w:ascii="Times New Roman" w:eastAsia="Times New Roman" w:hAnsi="Times New Roman"/>
          <w:color w:val="444444"/>
          <w:sz w:val="27"/>
          <w:szCs w:val="27"/>
          <w:lang w:eastAsia="es-ES"/>
        </w:rPr>
      </w:pPr>
      <w:r w:rsidRPr="00685182">
        <w:rPr>
          <w:rFonts w:ascii="Times New Roman" w:eastAsia="Times New Roman" w:hAnsi="Times New Roman"/>
          <w:color w:val="444444"/>
          <w:sz w:val="27"/>
          <w:szCs w:val="27"/>
          <w:lang w:eastAsia="es-ES"/>
        </w:rPr>
        <w:t>Los poderes y entidades adjudicadores podrán, por voluntad propia o por exigencia</w:t>
      </w:r>
      <w:hyperlink r:id="rId20" w:anchor="ntr12-L_2016003ES.01001801-E0012" w:history="1">
        <w:r w:rsidRPr="00685182">
          <w:rPr>
            <w:rFonts w:ascii="Times New Roman" w:eastAsia="Times New Roman" w:hAnsi="Times New Roman"/>
            <w:color w:val="0000FF"/>
            <w:sz w:val="27"/>
            <w:szCs w:val="27"/>
            <w:u w:val="single"/>
            <w:lang w:eastAsia="es-ES"/>
          </w:rPr>
          <w:t> (</w:t>
        </w:r>
        <w:r w:rsidRPr="00685182">
          <w:rPr>
            <w:rFonts w:ascii="Times New Roman" w:eastAsia="Times New Roman" w:hAnsi="Times New Roman"/>
            <w:color w:val="0000FF"/>
            <w:sz w:val="19"/>
            <w:szCs w:val="19"/>
            <w:u w:val="single"/>
            <w:vertAlign w:val="superscript"/>
            <w:lang w:eastAsia="es-ES"/>
          </w:rPr>
          <w:t>12</w:t>
        </w:r>
        <w:r w:rsidRPr="00685182">
          <w:rPr>
            <w:rFonts w:ascii="Times New Roman" w:eastAsia="Times New Roman" w:hAnsi="Times New Roman"/>
            <w:color w:val="0000FF"/>
            <w:sz w:val="27"/>
            <w:szCs w:val="27"/>
            <w:u w:val="single"/>
            <w:lang w:eastAsia="es-ES"/>
          </w:rPr>
          <w:t>)</w:t>
        </w:r>
      </w:hyperlink>
      <w:r w:rsidRPr="00685182">
        <w:rPr>
          <w:rFonts w:ascii="Times New Roman" w:eastAsia="Times New Roman" w:hAnsi="Times New Roman"/>
          <w:color w:val="444444"/>
          <w:sz w:val="27"/>
          <w:szCs w:val="27"/>
          <w:lang w:eastAsia="es-ES"/>
        </w:rPr>
        <w:t xml:space="preserve"> de los Estados miembros, limitar la información requerida sobre los criterios de selección a una sola pregunta, a saber, si los operadores económicos cumplen o no todos los criterios de selección necesarios. Aunque posteriormente podrá solicitarse información o documentación adicional, habrá que procurar no imponer cargas administrativas excesivas a los operadores económicos solicitando sistemáticamente certificados u otros tipos de pruebas documentales a todos los participantes en un procedimiento de contratación dado, o evitar las prácticas consistentes en determinar de forma discriminatoria a los operadores económicos a lo que se exigirá tal documentación.</w:t>
      </w:r>
    </w:p>
    <w:p w:rsidR="00CB404A" w:rsidRPr="00685182" w:rsidRDefault="00CB404A" w:rsidP="00CB404A">
      <w:pPr>
        <w:shd w:val="clear" w:color="auto" w:fill="EEEEEE"/>
        <w:spacing w:before="120" w:after="0" w:line="312" w:lineRule="atLeast"/>
        <w:jc w:val="both"/>
        <w:rPr>
          <w:rFonts w:ascii="Times New Roman" w:eastAsia="Times New Roman" w:hAnsi="Times New Roman"/>
          <w:color w:val="444444"/>
          <w:sz w:val="27"/>
          <w:szCs w:val="27"/>
          <w:lang w:eastAsia="es-ES"/>
        </w:rPr>
      </w:pPr>
      <w:r w:rsidRPr="00685182">
        <w:rPr>
          <w:rFonts w:ascii="Times New Roman" w:eastAsia="Times New Roman" w:hAnsi="Times New Roman"/>
          <w:color w:val="444444"/>
          <w:sz w:val="27"/>
          <w:szCs w:val="27"/>
          <w:lang w:eastAsia="es-ES"/>
        </w:rPr>
        <w:t>La obligación de los poderes y las entidades adjudicadores de obtener la correspondiente documentación directamente, a través de una base de datos nacional de cualquier Estado miembro que pueda consultarse de forma gratuita, también se aplica cuando la información sobre los criterios de selección solicitada en un principio se ha limitado a «sí» o «no». Si se solicita esa documentación electrónica, los operadores económicos proporcionarán, pues, al poder adjudicador o la entidad adjudicadora la información necesaria para obtener la documentación en el momento de comprobación de los criterios de selección, en vez de hacerlo directamente en el DEUC.</w:t>
      </w:r>
    </w:p>
    <w:p w:rsidR="00CB404A" w:rsidRPr="00685182" w:rsidRDefault="00CB404A" w:rsidP="00CB404A">
      <w:pPr>
        <w:shd w:val="clear" w:color="auto" w:fill="EEEEEE"/>
        <w:spacing w:before="120" w:after="0" w:line="312" w:lineRule="atLeast"/>
        <w:jc w:val="both"/>
        <w:rPr>
          <w:rFonts w:ascii="Times New Roman" w:eastAsia="Times New Roman" w:hAnsi="Times New Roman"/>
          <w:color w:val="444444"/>
          <w:sz w:val="27"/>
          <w:szCs w:val="27"/>
          <w:lang w:eastAsia="es-ES"/>
        </w:rPr>
      </w:pPr>
      <w:r w:rsidRPr="00685182">
        <w:rPr>
          <w:rFonts w:ascii="Times New Roman" w:eastAsia="Times New Roman" w:hAnsi="Times New Roman"/>
          <w:color w:val="444444"/>
          <w:sz w:val="27"/>
          <w:szCs w:val="27"/>
          <w:lang w:eastAsia="es-ES"/>
        </w:rPr>
        <w:t xml:space="preserve">Si el poder adjudicador o la entidad adjudicadora pueden acceder por vía electrónica a un extracto del pertinente registro, por ejemplo, de antecedentes penales, el operador económico podrá indicar dónde se halla esa información (esto es, el nombre del registro, la dirección de internet, la identificación del archivo o documento, etc.), de modo que el poder adjudicador o la entidad adjudicadora puedan obtenerla. </w:t>
      </w:r>
      <w:r w:rsidRPr="00685182">
        <w:rPr>
          <w:rFonts w:ascii="Times New Roman" w:eastAsia="Times New Roman" w:hAnsi="Times New Roman"/>
          <w:b/>
          <w:bCs/>
          <w:color w:val="444444"/>
          <w:sz w:val="27"/>
          <w:szCs w:val="27"/>
          <w:lang w:eastAsia="es-ES"/>
        </w:rPr>
        <w:t>Al facilitar esos datos, el operador conviene en que el poder adjudicador o la entidad adjudicadora podrán obtener la documentación pertinente, con sujeción a las disposiciones nacionales de transposición de la Directiva 95/46/CE</w:t>
      </w:r>
      <w:r w:rsidRPr="00685182">
        <w:rPr>
          <w:rFonts w:ascii="Times New Roman" w:eastAsia="Times New Roman" w:hAnsi="Times New Roman"/>
          <w:color w:val="444444"/>
          <w:sz w:val="27"/>
          <w:szCs w:val="27"/>
          <w:lang w:eastAsia="es-ES"/>
        </w:rPr>
        <w:t xml:space="preserve"> </w:t>
      </w:r>
      <w:hyperlink r:id="rId21" w:anchor="ntr13-L_2016003ES.01001801-E0013" w:history="1">
        <w:r w:rsidRPr="00685182">
          <w:rPr>
            <w:rFonts w:ascii="Times New Roman" w:eastAsia="Times New Roman" w:hAnsi="Times New Roman"/>
            <w:color w:val="0000FF"/>
            <w:sz w:val="27"/>
            <w:szCs w:val="27"/>
            <w:u w:val="single"/>
            <w:lang w:eastAsia="es-ES"/>
          </w:rPr>
          <w:t> (</w:t>
        </w:r>
        <w:r w:rsidRPr="00685182">
          <w:rPr>
            <w:rFonts w:ascii="Times New Roman" w:eastAsia="Times New Roman" w:hAnsi="Times New Roman"/>
            <w:color w:val="0000FF"/>
            <w:sz w:val="19"/>
            <w:szCs w:val="19"/>
            <w:u w:val="single"/>
            <w:vertAlign w:val="superscript"/>
            <w:lang w:eastAsia="es-ES"/>
          </w:rPr>
          <w:t>13</w:t>
        </w:r>
        <w:r w:rsidRPr="00685182">
          <w:rPr>
            <w:rFonts w:ascii="Times New Roman" w:eastAsia="Times New Roman" w:hAnsi="Times New Roman"/>
            <w:color w:val="0000FF"/>
            <w:sz w:val="27"/>
            <w:szCs w:val="27"/>
            <w:u w:val="single"/>
            <w:lang w:eastAsia="es-ES"/>
          </w:rPr>
          <w:t>)</w:t>
        </w:r>
      </w:hyperlink>
      <w:r w:rsidRPr="00685182">
        <w:rPr>
          <w:rFonts w:ascii="Times New Roman" w:eastAsia="Times New Roman" w:hAnsi="Times New Roman"/>
          <w:color w:val="444444"/>
          <w:sz w:val="27"/>
          <w:szCs w:val="27"/>
          <w:lang w:eastAsia="es-ES"/>
        </w:rPr>
        <w:t xml:space="preserve"> </w:t>
      </w:r>
      <w:r w:rsidRPr="00685182">
        <w:rPr>
          <w:rFonts w:ascii="Times New Roman" w:eastAsia="Times New Roman" w:hAnsi="Times New Roman"/>
          <w:b/>
          <w:bCs/>
          <w:color w:val="444444"/>
          <w:sz w:val="27"/>
          <w:szCs w:val="27"/>
          <w:lang w:eastAsia="es-ES"/>
        </w:rPr>
        <w:t>, relativa a la protección de las personas físicas en lo que respecta al tratamiento de datos personales, y, en particular, de categorías especiales de datos, como los relativos a infracciones, condenas penales o medidas de seguridad</w:t>
      </w:r>
      <w:r w:rsidRPr="00685182">
        <w:rPr>
          <w:rFonts w:ascii="Times New Roman" w:eastAsia="Times New Roman" w:hAnsi="Times New Roman"/>
          <w:color w:val="444444"/>
          <w:sz w:val="27"/>
          <w:szCs w:val="27"/>
          <w:lang w:eastAsia="es-ES"/>
        </w:rPr>
        <w:t>.</w:t>
      </w:r>
    </w:p>
    <w:p w:rsidR="00CB404A" w:rsidRPr="00685182" w:rsidRDefault="00CB404A" w:rsidP="00CB404A">
      <w:pPr>
        <w:shd w:val="clear" w:color="auto" w:fill="EEEEEE"/>
        <w:spacing w:before="120" w:after="0" w:line="312" w:lineRule="atLeast"/>
        <w:jc w:val="both"/>
        <w:rPr>
          <w:rFonts w:ascii="Times New Roman" w:eastAsia="Times New Roman" w:hAnsi="Times New Roman"/>
          <w:color w:val="444444"/>
          <w:sz w:val="27"/>
          <w:szCs w:val="27"/>
          <w:lang w:eastAsia="es-ES"/>
        </w:rPr>
      </w:pPr>
      <w:r w:rsidRPr="00685182">
        <w:rPr>
          <w:rFonts w:ascii="Times New Roman" w:eastAsia="Times New Roman" w:hAnsi="Times New Roman"/>
          <w:color w:val="444444"/>
          <w:sz w:val="27"/>
          <w:szCs w:val="27"/>
          <w:lang w:eastAsia="es-ES"/>
        </w:rPr>
        <w:t>De acuerdo con el artículo 64 de la Directiva 2014/24/UE del Parlamento Europeo y del Consejo, los operadores económicos que estén inscritos en listas oficiales de operadores económicos autorizados o posean el pertinente certificado expedido por organismos de Derecho público o privado, podrán, en lo referente a la información exigida en las partes III a V, presentar al poder adjudicador o la entidad adjudicadora el certificado de inscripción expedido por la autoridad competente o el certificado expedido por el organismo de certificación competente.</w:t>
      </w:r>
    </w:p>
    <w:p w:rsidR="00CB404A" w:rsidRPr="00685182" w:rsidRDefault="00CB404A" w:rsidP="00CB404A">
      <w:pPr>
        <w:shd w:val="clear" w:color="auto" w:fill="EEEEEE"/>
        <w:spacing w:before="120" w:after="0" w:line="312" w:lineRule="atLeast"/>
        <w:jc w:val="both"/>
        <w:rPr>
          <w:rFonts w:ascii="Times New Roman" w:eastAsia="Times New Roman" w:hAnsi="Times New Roman"/>
          <w:color w:val="444444"/>
          <w:sz w:val="27"/>
          <w:szCs w:val="27"/>
          <w:lang w:eastAsia="es-ES"/>
        </w:rPr>
      </w:pPr>
      <w:r w:rsidRPr="00685182">
        <w:rPr>
          <w:rFonts w:ascii="Times New Roman" w:eastAsia="Times New Roman" w:hAnsi="Times New Roman"/>
          <w:color w:val="444444"/>
          <w:sz w:val="27"/>
          <w:szCs w:val="27"/>
          <w:lang w:eastAsia="es-ES"/>
        </w:rPr>
        <w:t xml:space="preserve">Un operador económico que participe </w:t>
      </w:r>
      <w:r w:rsidRPr="00685182">
        <w:rPr>
          <w:rFonts w:ascii="Times New Roman" w:eastAsia="Times New Roman" w:hAnsi="Times New Roman"/>
          <w:b/>
          <w:bCs/>
          <w:color w:val="444444"/>
          <w:sz w:val="27"/>
          <w:szCs w:val="27"/>
          <w:lang w:eastAsia="es-ES"/>
        </w:rPr>
        <w:t>por su cuenta</w:t>
      </w:r>
      <w:r w:rsidRPr="00685182">
        <w:rPr>
          <w:rFonts w:ascii="Times New Roman" w:eastAsia="Times New Roman" w:hAnsi="Times New Roman"/>
          <w:color w:val="444444"/>
          <w:sz w:val="27"/>
          <w:szCs w:val="27"/>
          <w:lang w:eastAsia="es-ES"/>
        </w:rPr>
        <w:t xml:space="preserve"> y que </w:t>
      </w:r>
      <w:r w:rsidRPr="00685182">
        <w:rPr>
          <w:rFonts w:ascii="Times New Roman" w:eastAsia="Times New Roman" w:hAnsi="Times New Roman"/>
          <w:b/>
          <w:bCs/>
          <w:color w:val="444444"/>
          <w:sz w:val="27"/>
          <w:szCs w:val="27"/>
          <w:lang w:eastAsia="es-ES"/>
        </w:rPr>
        <w:t>no recurra</w:t>
      </w:r>
      <w:r w:rsidRPr="00685182">
        <w:rPr>
          <w:rFonts w:ascii="Times New Roman" w:eastAsia="Times New Roman" w:hAnsi="Times New Roman"/>
          <w:color w:val="444444"/>
          <w:sz w:val="27"/>
          <w:szCs w:val="27"/>
          <w:lang w:eastAsia="es-ES"/>
        </w:rPr>
        <w:t xml:space="preserve"> a la capacidad de otras entidades para cumplir los criterios de selección deberá cumplimentar </w:t>
      </w:r>
      <w:r w:rsidRPr="00685182">
        <w:rPr>
          <w:rFonts w:ascii="Times New Roman" w:eastAsia="Times New Roman" w:hAnsi="Times New Roman"/>
          <w:b/>
          <w:bCs/>
          <w:color w:val="444444"/>
          <w:sz w:val="27"/>
          <w:szCs w:val="27"/>
          <w:lang w:eastAsia="es-ES"/>
        </w:rPr>
        <w:t>un solo</w:t>
      </w:r>
      <w:r w:rsidRPr="00685182">
        <w:rPr>
          <w:rFonts w:ascii="Times New Roman" w:eastAsia="Times New Roman" w:hAnsi="Times New Roman"/>
          <w:color w:val="444444"/>
          <w:sz w:val="27"/>
          <w:szCs w:val="27"/>
          <w:lang w:eastAsia="es-ES"/>
        </w:rPr>
        <w:t xml:space="preserve"> DEUC.</w:t>
      </w:r>
    </w:p>
    <w:p w:rsidR="00CB404A" w:rsidRPr="00685182" w:rsidRDefault="00CB404A" w:rsidP="00CB404A">
      <w:pPr>
        <w:shd w:val="clear" w:color="auto" w:fill="EEEEEE"/>
        <w:spacing w:before="120" w:after="0" w:line="312" w:lineRule="atLeast"/>
        <w:jc w:val="both"/>
        <w:rPr>
          <w:rFonts w:ascii="Times New Roman" w:eastAsia="Times New Roman" w:hAnsi="Times New Roman"/>
          <w:color w:val="444444"/>
          <w:sz w:val="27"/>
          <w:szCs w:val="27"/>
          <w:lang w:eastAsia="es-ES"/>
        </w:rPr>
      </w:pPr>
      <w:r w:rsidRPr="00685182">
        <w:rPr>
          <w:rFonts w:ascii="Times New Roman" w:eastAsia="Times New Roman" w:hAnsi="Times New Roman"/>
          <w:color w:val="444444"/>
          <w:sz w:val="27"/>
          <w:szCs w:val="27"/>
          <w:lang w:eastAsia="es-ES"/>
        </w:rPr>
        <w:t xml:space="preserve">Un operador económico que participe por su cuenta pero recurra a la capacidad de una o varias otras entidades deberá garantizar que el poder adjudicador o la entidad adjudicadora reciban su propio DEUC junto con otro DEUC </w:t>
      </w:r>
      <w:r w:rsidRPr="00685182">
        <w:rPr>
          <w:rFonts w:ascii="Times New Roman" w:eastAsia="Times New Roman" w:hAnsi="Times New Roman"/>
          <w:b/>
          <w:bCs/>
          <w:color w:val="444444"/>
          <w:sz w:val="27"/>
          <w:szCs w:val="27"/>
          <w:lang w:eastAsia="es-ES"/>
        </w:rPr>
        <w:t>separado</w:t>
      </w:r>
      <w:r w:rsidRPr="00685182">
        <w:rPr>
          <w:rFonts w:ascii="Times New Roman" w:eastAsia="Times New Roman" w:hAnsi="Times New Roman"/>
          <w:color w:val="444444"/>
          <w:sz w:val="27"/>
          <w:szCs w:val="27"/>
          <w:lang w:eastAsia="es-ES"/>
        </w:rPr>
        <w:t>, en el que figure la información pertinente</w:t>
      </w:r>
      <w:hyperlink r:id="rId22" w:anchor="ntr14-L_2016003ES.01001801-E0014" w:history="1">
        <w:r w:rsidRPr="00685182">
          <w:rPr>
            <w:rFonts w:ascii="Times New Roman" w:eastAsia="Times New Roman" w:hAnsi="Times New Roman"/>
            <w:color w:val="0000FF"/>
            <w:sz w:val="27"/>
            <w:szCs w:val="27"/>
            <w:u w:val="single"/>
            <w:lang w:eastAsia="es-ES"/>
          </w:rPr>
          <w:t> (</w:t>
        </w:r>
        <w:r w:rsidRPr="00685182">
          <w:rPr>
            <w:rFonts w:ascii="Times New Roman" w:eastAsia="Times New Roman" w:hAnsi="Times New Roman"/>
            <w:color w:val="0000FF"/>
            <w:sz w:val="19"/>
            <w:szCs w:val="19"/>
            <w:u w:val="single"/>
            <w:vertAlign w:val="superscript"/>
            <w:lang w:eastAsia="es-ES"/>
          </w:rPr>
          <w:t>14</w:t>
        </w:r>
        <w:r w:rsidRPr="00685182">
          <w:rPr>
            <w:rFonts w:ascii="Times New Roman" w:eastAsia="Times New Roman" w:hAnsi="Times New Roman"/>
            <w:color w:val="0000FF"/>
            <w:sz w:val="27"/>
            <w:szCs w:val="27"/>
            <w:u w:val="single"/>
            <w:lang w:eastAsia="es-ES"/>
          </w:rPr>
          <w:t>)</w:t>
        </w:r>
      </w:hyperlink>
      <w:r w:rsidRPr="00685182">
        <w:rPr>
          <w:rFonts w:ascii="Times New Roman" w:eastAsia="Times New Roman" w:hAnsi="Times New Roman"/>
          <w:color w:val="444444"/>
          <w:sz w:val="27"/>
          <w:szCs w:val="27"/>
          <w:lang w:eastAsia="es-ES"/>
        </w:rPr>
        <w:t xml:space="preserve">, por </w:t>
      </w:r>
      <w:r w:rsidRPr="00685182">
        <w:rPr>
          <w:rFonts w:ascii="Times New Roman" w:eastAsia="Times New Roman" w:hAnsi="Times New Roman"/>
          <w:b/>
          <w:bCs/>
          <w:color w:val="444444"/>
          <w:sz w:val="27"/>
          <w:szCs w:val="27"/>
          <w:lang w:eastAsia="es-ES"/>
        </w:rPr>
        <w:t>cada una de las entidades de que se trate</w:t>
      </w:r>
      <w:r w:rsidRPr="00685182">
        <w:rPr>
          <w:rFonts w:ascii="Times New Roman" w:eastAsia="Times New Roman" w:hAnsi="Times New Roman"/>
          <w:color w:val="444444"/>
          <w:sz w:val="27"/>
          <w:szCs w:val="27"/>
          <w:lang w:eastAsia="es-ES"/>
        </w:rPr>
        <w:t>.</w:t>
      </w:r>
    </w:p>
    <w:p w:rsidR="00CB404A" w:rsidRPr="00685182" w:rsidRDefault="00CB404A" w:rsidP="00CB404A">
      <w:pPr>
        <w:shd w:val="clear" w:color="auto" w:fill="EEEEEE"/>
        <w:spacing w:before="120" w:after="0" w:line="312" w:lineRule="atLeast"/>
        <w:jc w:val="both"/>
        <w:rPr>
          <w:rFonts w:ascii="Times New Roman" w:eastAsia="Times New Roman" w:hAnsi="Times New Roman"/>
          <w:color w:val="444444"/>
          <w:sz w:val="27"/>
          <w:szCs w:val="27"/>
          <w:lang w:eastAsia="es-ES"/>
        </w:rPr>
      </w:pPr>
      <w:r w:rsidRPr="00685182">
        <w:rPr>
          <w:rFonts w:ascii="Times New Roman" w:eastAsia="Times New Roman" w:hAnsi="Times New Roman"/>
          <w:color w:val="444444"/>
          <w:sz w:val="27"/>
          <w:szCs w:val="27"/>
          <w:lang w:eastAsia="es-ES"/>
        </w:rPr>
        <w:t xml:space="preserve">Por último, cuando grupos de operadores económicos, incluidas asociaciones temporales, participen conjuntamente en el procedimiento de contratación, deberá presentarse </w:t>
      </w:r>
      <w:r w:rsidRPr="00685182">
        <w:rPr>
          <w:rFonts w:ascii="Times New Roman" w:eastAsia="Times New Roman" w:hAnsi="Times New Roman"/>
          <w:b/>
          <w:bCs/>
          <w:color w:val="444444"/>
          <w:sz w:val="27"/>
          <w:szCs w:val="27"/>
          <w:lang w:eastAsia="es-ES"/>
        </w:rPr>
        <w:t>un DEUC separado</w:t>
      </w:r>
      <w:r w:rsidRPr="00685182">
        <w:rPr>
          <w:rFonts w:ascii="Times New Roman" w:eastAsia="Times New Roman" w:hAnsi="Times New Roman"/>
          <w:color w:val="444444"/>
          <w:sz w:val="27"/>
          <w:szCs w:val="27"/>
          <w:lang w:eastAsia="es-ES"/>
        </w:rPr>
        <w:t xml:space="preserve">, en el que figure la información requerida en las partes II a V, por </w:t>
      </w:r>
      <w:r w:rsidRPr="00685182">
        <w:rPr>
          <w:rFonts w:ascii="Times New Roman" w:eastAsia="Times New Roman" w:hAnsi="Times New Roman"/>
          <w:b/>
          <w:bCs/>
          <w:color w:val="444444"/>
          <w:sz w:val="27"/>
          <w:szCs w:val="27"/>
          <w:lang w:eastAsia="es-ES"/>
        </w:rPr>
        <w:t>cada</w:t>
      </w:r>
      <w:r w:rsidRPr="00685182">
        <w:rPr>
          <w:rFonts w:ascii="Times New Roman" w:eastAsia="Times New Roman" w:hAnsi="Times New Roman"/>
          <w:color w:val="444444"/>
          <w:sz w:val="27"/>
          <w:szCs w:val="27"/>
          <w:lang w:eastAsia="es-ES"/>
        </w:rPr>
        <w:t xml:space="preserve"> operador económico participante.</w:t>
      </w:r>
    </w:p>
    <w:p w:rsidR="00CB404A" w:rsidRPr="00685182" w:rsidRDefault="00CB404A" w:rsidP="00CB404A">
      <w:pPr>
        <w:shd w:val="clear" w:color="auto" w:fill="EEEEEE"/>
        <w:spacing w:before="120" w:after="0" w:line="312" w:lineRule="atLeast"/>
        <w:jc w:val="both"/>
        <w:rPr>
          <w:rFonts w:ascii="Times New Roman" w:eastAsia="Times New Roman" w:hAnsi="Times New Roman"/>
          <w:color w:val="444444"/>
          <w:sz w:val="27"/>
          <w:szCs w:val="27"/>
          <w:lang w:eastAsia="es-ES"/>
        </w:rPr>
      </w:pPr>
      <w:r w:rsidRPr="00685182">
        <w:rPr>
          <w:rFonts w:ascii="Times New Roman" w:eastAsia="Times New Roman" w:hAnsi="Times New Roman"/>
          <w:color w:val="444444"/>
          <w:sz w:val="27"/>
          <w:szCs w:val="27"/>
          <w:lang w:eastAsia="es-ES"/>
        </w:rPr>
        <w:t xml:space="preserve">En todos los casos en que más de una persona sea miembro del órgano de administración, de dirección o de supervisión de un operador económico o tenga poderes de representación, decisión o control en él, cada una de ellas </w:t>
      </w:r>
      <w:r w:rsidRPr="00685182">
        <w:rPr>
          <w:rFonts w:ascii="Times New Roman" w:eastAsia="Times New Roman" w:hAnsi="Times New Roman"/>
          <w:b/>
          <w:bCs/>
          <w:color w:val="444444"/>
          <w:sz w:val="27"/>
          <w:szCs w:val="27"/>
          <w:lang w:eastAsia="es-ES"/>
        </w:rPr>
        <w:t>podrá</w:t>
      </w:r>
      <w:r w:rsidRPr="00685182">
        <w:rPr>
          <w:rFonts w:ascii="Times New Roman" w:eastAsia="Times New Roman" w:hAnsi="Times New Roman"/>
          <w:color w:val="444444"/>
          <w:sz w:val="27"/>
          <w:szCs w:val="27"/>
          <w:lang w:eastAsia="es-ES"/>
        </w:rPr>
        <w:t xml:space="preserve"> tener que firmar el mismo DEUC, dependiendo de las normas nacionales, incluidas aquellas que regulen la protección de datos.</w:t>
      </w:r>
    </w:p>
    <w:p w:rsidR="00CB404A" w:rsidRPr="00685182" w:rsidRDefault="00CB404A" w:rsidP="00CB404A">
      <w:pPr>
        <w:shd w:val="clear" w:color="auto" w:fill="EEEEEE"/>
        <w:spacing w:before="120" w:after="0" w:line="312" w:lineRule="atLeast"/>
        <w:jc w:val="both"/>
        <w:rPr>
          <w:rFonts w:ascii="Times New Roman" w:eastAsia="Times New Roman" w:hAnsi="Times New Roman"/>
          <w:color w:val="444444"/>
          <w:sz w:val="27"/>
          <w:szCs w:val="27"/>
          <w:lang w:eastAsia="es-ES"/>
        </w:rPr>
      </w:pPr>
      <w:r w:rsidRPr="00685182">
        <w:rPr>
          <w:rFonts w:ascii="Times New Roman" w:eastAsia="Times New Roman" w:hAnsi="Times New Roman"/>
          <w:color w:val="444444"/>
          <w:sz w:val="27"/>
          <w:szCs w:val="27"/>
          <w:lang w:eastAsia="es-ES"/>
        </w:rPr>
        <w:t>En relación con la firma o firmas del DEUC, cabe destacar que puede ser innecesario estampar una firma en dicho documento si este forma parte de un conjunto de documentos transmitidos cuya autenticidad e integridad están garantizadas a través de la firma o firmas preceptivas del medio de transmisión</w:t>
      </w:r>
      <w:hyperlink r:id="rId23" w:anchor="ntr15-L_2016003ES.01001801-E0015" w:history="1">
        <w:r w:rsidRPr="00685182">
          <w:rPr>
            <w:rFonts w:ascii="Times New Roman" w:eastAsia="Times New Roman" w:hAnsi="Times New Roman"/>
            <w:color w:val="0000FF"/>
            <w:sz w:val="27"/>
            <w:szCs w:val="27"/>
            <w:u w:val="single"/>
            <w:lang w:eastAsia="es-ES"/>
          </w:rPr>
          <w:t> (</w:t>
        </w:r>
        <w:r w:rsidRPr="00685182">
          <w:rPr>
            <w:rFonts w:ascii="Times New Roman" w:eastAsia="Times New Roman" w:hAnsi="Times New Roman"/>
            <w:color w:val="0000FF"/>
            <w:sz w:val="19"/>
            <w:szCs w:val="19"/>
            <w:u w:val="single"/>
            <w:vertAlign w:val="superscript"/>
            <w:lang w:eastAsia="es-ES"/>
          </w:rPr>
          <w:t>15</w:t>
        </w:r>
        <w:r w:rsidRPr="00685182">
          <w:rPr>
            <w:rFonts w:ascii="Times New Roman" w:eastAsia="Times New Roman" w:hAnsi="Times New Roman"/>
            <w:color w:val="0000FF"/>
            <w:sz w:val="27"/>
            <w:szCs w:val="27"/>
            <w:u w:val="single"/>
            <w:lang w:eastAsia="es-ES"/>
          </w:rPr>
          <w:t>)</w:t>
        </w:r>
      </w:hyperlink>
      <w:r w:rsidRPr="00685182">
        <w:rPr>
          <w:rFonts w:ascii="Times New Roman" w:eastAsia="Times New Roman" w:hAnsi="Times New Roman"/>
          <w:color w:val="444444"/>
          <w:sz w:val="27"/>
          <w:szCs w:val="27"/>
          <w:lang w:eastAsia="es-ES"/>
        </w:rPr>
        <w:t>.</w:t>
      </w:r>
    </w:p>
    <w:p w:rsidR="00CB404A" w:rsidRPr="00685182" w:rsidRDefault="00CB404A" w:rsidP="00CB404A">
      <w:pPr>
        <w:shd w:val="clear" w:color="auto" w:fill="EEEEEE"/>
        <w:spacing w:line="312" w:lineRule="atLeast"/>
        <w:rPr>
          <w:rFonts w:ascii="Times New Roman" w:eastAsia="Times New Roman" w:hAnsi="Times New Roman"/>
          <w:color w:val="444444"/>
          <w:sz w:val="27"/>
          <w:szCs w:val="27"/>
          <w:lang w:eastAsia="es-ES"/>
        </w:rPr>
      </w:pPr>
      <w:r w:rsidRPr="00685182">
        <w:rPr>
          <w:rFonts w:ascii="Times New Roman" w:eastAsia="Times New Roman" w:hAnsi="Times New Roman"/>
          <w:color w:val="444444"/>
          <w:sz w:val="27"/>
          <w:szCs w:val="27"/>
          <w:lang w:eastAsia="es-ES"/>
        </w:rPr>
        <w:t xml:space="preserve">En el caso de los procedimientos de contratación en los que se haya publicado una convocatoria de licitación en el </w:t>
      </w:r>
      <w:r w:rsidRPr="00685182">
        <w:rPr>
          <w:rFonts w:ascii="Times New Roman" w:eastAsia="Times New Roman" w:hAnsi="Times New Roman"/>
          <w:i/>
          <w:iCs/>
          <w:color w:val="444444"/>
          <w:sz w:val="27"/>
          <w:szCs w:val="27"/>
          <w:lang w:eastAsia="es-ES"/>
        </w:rPr>
        <w:t>Diario Oficial de la Unión Europea</w:t>
      </w:r>
      <w:r w:rsidRPr="00685182">
        <w:rPr>
          <w:rFonts w:ascii="Times New Roman" w:eastAsia="Times New Roman" w:hAnsi="Times New Roman"/>
          <w:color w:val="444444"/>
          <w:sz w:val="27"/>
          <w:szCs w:val="27"/>
          <w:lang w:eastAsia="es-ES"/>
        </w:rPr>
        <w:t xml:space="preserve">, la información exigida en la parte I se obtendrá automáticamente, </w:t>
      </w:r>
      <w:r w:rsidRPr="00685182">
        <w:rPr>
          <w:rFonts w:ascii="Times New Roman" w:eastAsia="Times New Roman" w:hAnsi="Times New Roman"/>
          <w:b/>
          <w:bCs/>
          <w:color w:val="444444"/>
          <w:sz w:val="27"/>
          <w:szCs w:val="27"/>
          <w:lang w:eastAsia="es-ES"/>
        </w:rPr>
        <w:t>siempre que se utilice el servicio DEUC electrónico anteriormente citado para generar y cumplimentar el DEUC</w:t>
      </w:r>
      <w:r w:rsidRPr="00685182">
        <w:rPr>
          <w:rFonts w:ascii="Times New Roman" w:eastAsia="Times New Roman" w:hAnsi="Times New Roman"/>
          <w:color w:val="444444"/>
          <w:sz w:val="27"/>
          <w:szCs w:val="27"/>
          <w:lang w:eastAsia="es-ES"/>
        </w:rPr>
        <w:t>.</w:t>
      </w:r>
    </w:p>
    <w:p w:rsidR="00CB404A" w:rsidRPr="00685182" w:rsidRDefault="00CB404A" w:rsidP="00CB404A">
      <w:pPr>
        <w:shd w:val="clear" w:color="auto" w:fill="EEEEEE"/>
        <w:spacing w:line="312" w:lineRule="atLeast"/>
        <w:rPr>
          <w:rFonts w:ascii="Times New Roman" w:eastAsia="Times New Roman" w:hAnsi="Times New Roman"/>
          <w:color w:val="444444"/>
          <w:sz w:val="27"/>
          <w:szCs w:val="27"/>
          <w:lang w:eastAsia="es-ES"/>
        </w:rPr>
      </w:pPr>
      <w:r w:rsidRPr="00685182">
        <w:rPr>
          <w:rFonts w:ascii="Times New Roman" w:eastAsia="Times New Roman" w:hAnsi="Times New Roman"/>
          <w:b/>
          <w:bCs/>
          <w:color w:val="444444"/>
          <w:sz w:val="27"/>
          <w:szCs w:val="27"/>
          <w:lang w:eastAsia="es-ES"/>
        </w:rPr>
        <w:t>Si no se publica una convocatoria de licitación en el</w:t>
      </w:r>
      <w:r w:rsidRPr="00685182">
        <w:rPr>
          <w:rFonts w:ascii="Times New Roman" w:eastAsia="Times New Roman" w:hAnsi="Times New Roman"/>
          <w:color w:val="444444"/>
          <w:sz w:val="27"/>
          <w:szCs w:val="27"/>
          <w:lang w:eastAsia="es-ES"/>
        </w:rPr>
        <w:t xml:space="preserve"> </w:t>
      </w:r>
      <w:r w:rsidRPr="00685182">
        <w:rPr>
          <w:rFonts w:ascii="Times New Roman" w:eastAsia="Times New Roman" w:hAnsi="Times New Roman"/>
          <w:b/>
          <w:bCs/>
          <w:i/>
          <w:iCs/>
          <w:color w:val="444444"/>
          <w:sz w:val="27"/>
          <w:szCs w:val="27"/>
          <w:lang w:eastAsia="es-ES"/>
        </w:rPr>
        <w:t>Diario Oficial de la Unión Europea</w:t>
      </w:r>
      <w:r w:rsidRPr="00685182">
        <w:rPr>
          <w:rFonts w:ascii="Times New Roman" w:eastAsia="Times New Roman" w:hAnsi="Times New Roman"/>
          <w:color w:val="444444"/>
          <w:sz w:val="27"/>
          <w:szCs w:val="27"/>
          <w:lang w:eastAsia="es-ES"/>
        </w:rPr>
        <w:t xml:space="preserve">, </w:t>
      </w:r>
      <w:r w:rsidRPr="00685182">
        <w:rPr>
          <w:rFonts w:ascii="Times New Roman" w:eastAsia="Times New Roman" w:hAnsi="Times New Roman"/>
          <w:b/>
          <w:bCs/>
          <w:color w:val="444444"/>
          <w:sz w:val="27"/>
          <w:szCs w:val="27"/>
          <w:lang w:eastAsia="es-ES"/>
        </w:rPr>
        <w:t>el poder adjudicador o la entidad adjudicadora deberán consignar la información que permita identificar de forma inequívoca el procedimiento de contratación.</w:t>
      </w:r>
      <w:r w:rsidRPr="00685182">
        <w:rPr>
          <w:rFonts w:ascii="Times New Roman" w:eastAsia="Times New Roman" w:hAnsi="Times New Roman"/>
          <w:color w:val="444444"/>
          <w:sz w:val="27"/>
          <w:szCs w:val="27"/>
          <w:lang w:eastAsia="es-ES"/>
        </w:rPr>
        <w:t xml:space="preserve"> La restante información en todas las demás secciones del DEUC habrá de ser consignada por el operador económico.</w:t>
      </w:r>
    </w:p>
    <w:p w:rsidR="00CB404A" w:rsidRPr="00685182" w:rsidRDefault="00CB404A" w:rsidP="00CB404A">
      <w:pPr>
        <w:shd w:val="clear" w:color="auto" w:fill="EEEEEE"/>
        <w:spacing w:before="120" w:line="312" w:lineRule="atLeast"/>
        <w:jc w:val="both"/>
        <w:rPr>
          <w:rFonts w:ascii="Times New Roman" w:eastAsia="Times New Roman" w:hAnsi="Times New Roman"/>
          <w:color w:val="444444"/>
          <w:sz w:val="27"/>
          <w:szCs w:val="27"/>
          <w:lang w:eastAsia="es-ES"/>
        </w:rPr>
      </w:pPr>
      <w:r w:rsidRPr="00685182">
        <w:rPr>
          <w:rFonts w:ascii="Times New Roman" w:eastAsia="Times New Roman" w:hAnsi="Times New Roman"/>
          <w:color w:val="444444"/>
          <w:sz w:val="27"/>
          <w:szCs w:val="27"/>
          <w:lang w:eastAsia="es-ES"/>
        </w:rPr>
        <w:t>El DEUC consta de las siguientes partes y secciones:</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95"/>
        <w:gridCol w:w="8193"/>
      </w:tblGrid>
      <w:tr w:rsidR="00CB404A" w:rsidRPr="00685182" w:rsidTr="006B1DE5">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CB404A" w:rsidRPr="00685182" w:rsidRDefault="00CB404A" w:rsidP="006B1DE5">
            <w:pPr>
              <w:spacing w:before="120" w:after="0" w:line="312" w:lineRule="atLeast"/>
              <w:jc w:val="both"/>
              <w:rPr>
                <w:rFonts w:ascii="Lucida Sans Unicode" w:eastAsia="Times New Roman" w:hAnsi="Lucida Sans Unicode" w:cs="Lucida Sans Unicode"/>
                <w:color w:val="444444"/>
                <w:sz w:val="19"/>
                <w:szCs w:val="19"/>
                <w:lang w:eastAsia="es-ES"/>
              </w:rPr>
            </w:pPr>
            <w:r w:rsidRPr="00685182">
              <w:rPr>
                <w:rFonts w:ascii="Lucida Sans Unicode" w:eastAsia="Times New Roman" w:hAnsi="Lucida Sans Unicode" w:cs="Lucida Sans Unicode"/>
                <w:color w:val="444444"/>
                <w:sz w:val="19"/>
                <w:szCs w:val="19"/>
                <w:lang w:eastAsia="es-ES"/>
              </w:rPr>
              <w:t>—</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CB404A" w:rsidRPr="00685182" w:rsidRDefault="00CB404A" w:rsidP="006B1DE5">
            <w:pPr>
              <w:spacing w:before="120" w:after="0" w:line="312" w:lineRule="atLeast"/>
              <w:jc w:val="both"/>
              <w:rPr>
                <w:rFonts w:ascii="Lucida Sans Unicode" w:eastAsia="Times New Roman" w:hAnsi="Lucida Sans Unicode" w:cs="Lucida Sans Unicode"/>
                <w:color w:val="444444"/>
                <w:sz w:val="19"/>
                <w:szCs w:val="19"/>
                <w:lang w:eastAsia="es-ES"/>
              </w:rPr>
            </w:pPr>
            <w:r w:rsidRPr="00685182">
              <w:rPr>
                <w:rFonts w:ascii="Lucida Sans Unicode" w:eastAsia="Times New Roman" w:hAnsi="Lucida Sans Unicode" w:cs="Lucida Sans Unicode"/>
                <w:b/>
                <w:bCs/>
                <w:color w:val="444444"/>
                <w:sz w:val="19"/>
                <w:szCs w:val="19"/>
                <w:lang w:eastAsia="es-ES"/>
              </w:rPr>
              <w:t>Parte I. Información sobre el procedimiento de contratación y el poder adjudicador o la entidad adjudicadora</w:t>
            </w:r>
            <w:r w:rsidRPr="00685182">
              <w:rPr>
                <w:rFonts w:ascii="Lucida Sans Unicode" w:eastAsia="Times New Roman" w:hAnsi="Lucida Sans Unicode" w:cs="Lucida Sans Unicode"/>
                <w:color w:val="444444"/>
                <w:sz w:val="19"/>
                <w:szCs w:val="19"/>
                <w:lang w:eastAsia="es-ES"/>
              </w:rPr>
              <w:t xml:space="preserve"> </w:t>
            </w:r>
          </w:p>
        </w:tc>
      </w:tr>
    </w:tbl>
    <w:p w:rsidR="00CB404A" w:rsidRPr="00685182" w:rsidRDefault="00CB404A" w:rsidP="00CB404A">
      <w:pPr>
        <w:shd w:val="clear" w:color="auto" w:fill="EEEEEE"/>
        <w:spacing w:line="312" w:lineRule="atLeast"/>
        <w:rPr>
          <w:rFonts w:ascii="Times New Roman" w:eastAsia="Times New Roman" w:hAnsi="Times New Roman"/>
          <w:vanish/>
          <w:color w:val="444444"/>
          <w:sz w:val="27"/>
          <w:szCs w:val="27"/>
          <w:lang w:eastAsia="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328"/>
        <w:gridCol w:w="8160"/>
      </w:tblGrid>
      <w:tr w:rsidR="00CB404A" w:rsidRPr="00685182" w:rsidTr="006B1DE5">
        <w:tc>
          <w:tcPr>
            <w:tcW w:w="193" w:type="pct"/>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CB404A" w:rsidRPr="00685182" w:rsidRDefault="00CB404A" w:rsidP="006B1DE5">
            <w:pPr>
              <w:spacing w:before="120" w:after="0" w:line="312" w:lineRule="atLeast"/>
              <w:jc w:val="both"/>
              <w:rPr>
                <w:rFonts w:ascii="Lucida Sans Unicode" w:eastAsia="Times New Roman" w:hAnsi="Lucida Sans Unicode" w:cs="Lucida Sans Unicode"/>
                <w:color w:val="444444"/>
                <w:sz w:val="19"/>
                <w:szCs w:val="19"/>
                <w:lang w:eastAsia="es-ES"/>
              </w:rPr>
            </w:pPr>
            <w:r w:rsidRPr="00685182">
              <w:rPr>
                <w:rFonts w:ascii="Lucida Sans Unicode" w:eastAsia="Times New Roman" w:hAnsi="Lucida Sans Unicode" w:cs="Lucida Sans Unicode"/>
                <w:color w:val="444444"/>
                <w:sz w:val="19"/>
                <w:szCs w:val="19"/>
                <w:lang w:eastAsia="es-ES"/>
              </w:rPr>
              <w:t>—</w:t>
            </w:r>
          </w:p>
        </w:tc>
        <w:tc>
          <w:tcPr>
            <w:tcW w:w="4807" w:type="pct"/>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CB404A" w:rsidRPr="00685182" w:rsidRDefault="00CB404A" w:rsidP="006B1DE5">
            <w:pPr>
              <w:spacing w:before="120" w:after="0" w:line="312" w:lineRule="atLeast"/>
              <w:jc w:val="both"/>
              <w:rPr>
                <w:rFonts w:ascii="Lucida Sans Unicode" w:eastAsia="Times New Roman" w:hAnsi="Lucida Sans Unicode" w:cs="Lucida Sans Unicode"/>
                <w:color w:val="444444"/>
                <w:sz w:val="19"/>
                <w:szCs w:val="19"/>
                <w:lang w:eastAsia="es-ES"/>
              </w:rPr>
            </w:pPr>
            <w:r w:rsidRPr="00685182">
              <w:rPr>
                <w:rFonts w:ascii="Lucida Sans Unicode" w:eastAsia="Times New Roman" w:hAnsi="Lucida Sans Unicode" w:cs="Lucida Sans Unicode"/>
                <w:b/>
                <w:bCs/>
                <w:color w:val="444444"/>
                <w:sz w:val="19"/>
                <w:szCs w:val="19"/>
                <w:lang w:eastAsia="es-ES"/>
              </w:rPr>
              <w:t>Parte II. Información sobre el operador económico</w:t>
            </w:r>
            <w:r w:rsidRPr="00685182">
              <w:rPr>
                <w:rFonts w:ascii="Lucida Sans Unicode" w:eastAsia="Times New Roman" w:hAnsi="Lucida Sans Unicode" w:cs="Lucida Sans Unicode"/>
                <w:color w:val="444444"/>
                <w:sz w:val="19"/>
                <w:szCs w:val="19"/>
                <w:lang w:eastAsia="es-ES"/>
              </w:rPr>
              <w:t xml:space="preserve"> </w:t>
            </w:r>
          </w:p>
        </w:tc>
      </w:tr>
    </w:tbl>
    <w:p w:rsidR="00CB404A" w:rsidRPr="00685182" w:rsidRDefault="00CB404A" w:rsidP="00CB404A">
      <w:pPr>
        <w:shd w:val="clear" w:color="auto" w:fill="EEEEEE"/>
        <w:spacing w:line="312" w:lineRule="atLeast"/>
        <w:rPr>
          <w:rFonts w:ascii="Times New Roman" w:eastAsia="Times New Roman" w:hAnsi="Times New Roman"/>
          <w:vanish/>
          <w:color w:val="444444"/>
          <w:sz w:val="27"/>
          <w:szCs w:val="27"/>
          <w:lang w:eastAsia="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95"/>
        <w:gridCol w:w="8193"/>
      </w:tblGrid>
      <w:tr w:rsidR="00CB404A" w:rsidRPr="00685182" w:rsidTr="006B1DE5">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CB404A" w:rsidRPr="00685182" w:rsidRDefault="00CB404A" w:rsidP="006B1DE5">
            <w:pPr>
              <w:spacing w:before="120" w:after="0" w:line="312" w:lineRule="atLeast"/>
              <w:jc w:val="both"/>
              <w:rPr>
                <w:rFonts w:ascii="Lucida Sans Unicode" w:eastAsia="Times New Roman" w:hAnsi="Lucida Sans Unicode" w:cs="Lucida Sans Unicode"/>
                <w:color w:val="444444"/>
                <w:sz w:val="19"/>
                <w:szCs w:val="19"/>
                <w:lang w:eastAsia="es-ES"/>
              </w:rPr>
            </w:pPr>
            <w:r w:rsidRPr="00685182">
              <w:rPr>
                <w:rFonts w:ascii="Lucida Sans Unicode" w:eastAsia="Times New Roman" w:hAnsi="Lucida Sans Unicode" w:cs="Lucida Sans Unicode"/>
                <w:color w:val="444444"/>
                <w:sz w:val="19"/>
                <w:szCs w:val="19"/>
                <w:lang w:eastAsia="es-ES"/>
              </w:rPr>
              <w:t>—</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CB404A" w:rsidRPr="00685182" w:rsidRDefault="00CB404A" w:rsidP="006B1DE5">
            <w:pPr>
              <w:spacing w:before="120" w:after="0" w:line="312" w:lineRule="atLeast"/>
              <w:jc w:val="both"/>
              <w:rPr>
                <w:rFonts w:ascii="Lucida Sans Unicode" w:eastAsia="Times New Roman" w:hAnsi="Lucida Sans Unicode" w:cs="Lucida Sans Unicode"/>
                <w:color w:val="444444"/>
                <w:sz w:val="19"/>
                <w:szCs w:val="19"/>
                <w:lang w:eastAsia="es-ES"/>
              </w:rPr>
            </w:pPr>
            <w:r w:rsidRPr="00685182">
              <w:rPr>
                <w:rFonts w:ascii="Lucida Sans Unicode" w:eastAsia="Times New Roman" w:hAnsi="Lucida Sans Unicode" w:cs="Lucida Sans Unicode"/>
                <w:b/>
                <w:bCs/>
                <w:color w:val="444444"/>
                <w:sz w:val="19"/>
                <w:szCs w:val="19"/>
                <w:lang w:eastAsia="es-ES"/>
              </w:rPr>
              <w:t>Parte III. Criterios de exclusión:</w:t>
            </w:r>
            <w:r w:rsidRPr="00685182">
              <w:rPr>
                <w:rFonts w:ascii="Lucida Sans Unicode" w:eastAsia="Times New Roman" w:hAnsi="Lucida Sans Unicode" w:cs="Lucida Sans Unicode"/>
                <w:color w:val="444444"/>
                <w:sz w:val="19"/>
                <w:szCs w:val="19"/>
                <w:lang w:eastAsia="es-ES"/>
              </w:rPr>
              <w:t xml:space="preserve"> </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95"/>
              <w:gridCol w:w="7777"/>
            </w:tblGrid>
            <w:tr w:rsidR="00CB404A" w:rsidRPr="00685182" w:rsidTr="006B1DE5">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CB404A" w:rsidRPr="00685182" w:rsidRDefault="00CB404A" w:rsidP="006B1DE5">
                  <w:pPr>
                    <w:spacing w:before="120" w:after="0" w:line="312" w:lineRule="atLeast"/>
                    <w:jc w:val="both"/>
                    <w:rPr>
                      <w:rFonts w:ascii="Lucida Sans Unicode" w:eastAsia="Times New Roman" w:hAnsi="Lucida Sans Unicode" w:cs="Lucida Sans Unicode"/>
                      <w:color w:val="444444"/>
                      <w:sz w:val="19"/>
                      <w:szCs w:val="19"/>
                      <w:lang w:eastAsia="es-ES"/>
                    </w:rPr>
                  </w:pPr>
                  <w:r w:rsidRPr="00685182">
                    <w:rPr>
                      <w:rFonts w:ascii="Lucida Sans Unicode" w:eastAsia="Times New Roman" w:hAnsi="Lucida Sans Unicode" w:cs="Lucida Sans Unicode"/>
                      <w:color w:val="444444"/>
                      <w:sz w:val="19"/>
                      <w:szCs w:val="19"/>
                      <w:lang w:eastAsia="es-ES"/>
                    </w:rPr>
                    <w:t>—</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CB404A" w:rsidRPr="00685182" w:rsidRDefault="00CB404A" w:rsidP="006B1DE5">
                  <w:pPr>
                    <w:spacing w:before="120" w:after="0" w:line="312" w:lineRule="atLeast"/>
                    <w:jc w:val="both"/>
                    <w:rPr>
                      <w:rFonts w:ascii="Lucida Sans Unicode" w:eastAsia="Times New Roman" w:hAnsi="Lucida Sans Unicode" w:cs="Lucida Sans Unicode"/>
                      <w:color w:val="444444"/>
                      <w:sz w:val="19"/>
                      <w:szCs w:val="19"/>
                      <w:lang w:eastAsia="es-ES"/>
                    </w:rPr>
                  </w:pPr>
                  <w:r w:rsidRPr="00685182">
                    <w:rPr>
                      <w:rFonts w:ascii="Lucida Sans Unicode" w:eastAsia="Times New Roman" w:hAnsi="Lucida Sans Unicode" w:cs="Lucida Sans Unicode"/>
                      <w:b/>
                      <w:bCs/>
                      <w:color w:val="444444"/>
                      <w:sz w:val="19"/>
                      <w:szCs w:val="19"/>
                      <w:lang w:eastAsia="es-ES"/>
                    </w:rPr>
                    <w:t>A: Motivos referidos a condenas penales</w:t>
                  </w:r>
                  <w:r w:rsidRPr="00685182">
                    <w:rPr>
                      <w:rFonts w:ascii="Lucida Sans Unicode" w:eastAsia="Times New Roman" w:hAnsi="Lucida Sans Unicode" w:cs="Lucida Sans Unicode"/>
                      <w:color w:val="444444"/>
                      <w:sz w:val="19"/>
                      <w:szCs w:val="19"/>
                      <w:lang w:eastAsia="es-ES"/>
                    </w:rPr>
                    <w:t xml:space="preserve">. Su aplicación es obligatoria en virtud del artículo 57, apartado 1, de la Directiva 2014/24/UE. Su aplicación es también obligatoria para los poderes adjudicadores en virtud del artículo 80, apartado 1, párrafo segundo, de la Directiva 2014/25/UE, en tanto que las entidades adjudicadoras distintas de los poderes adjudicadores </w:t>
                  </w:r>
                  <w:r w:rsidRPr="00685182">
                    <w:rPr>
                      <w:rFonts w:ascii="Lucida Sans Unicode" w:eastAsia="Times New Roman" w:hAnsi="Lucida Sans Unicode" w:cs="Lucida Sans Unicode"/>
                      <w:b/>
                      <w:bCs/>
                      <w:color w:val="444444"/>
                      <w:sz w:val="19"/>
                      <w:szCs w:val="19"/>
                      <w:lang w:eastAsia="es-ES"/>
                    </w:rPr>
                    <w:t>pueden</w:t>
                  </w:r>
                  <w:r w:rsidRPr="00685182">
                    <w:rPr>
                      <w:rFonts w:ascii="Lucida Sans Unicode" w:eastAsia="Times New Roman" w:hAnsi="Lucida Sans Unicode" w:cs="Lucida Sans Unicode"/>
                      <w:color w:val="444444"/>
                      <w:sz w:val="19"/>
                      <w:szCs w:val="19"/>
                      <w:lang w:eastAsia="es-ES"/>
                    </w:rPr>
                    <w:t xml:space="preserve"> optar por aplicar estos criterios de exclusión.</w:t>
                  </w:r>
                </w:p>
              </w:tc>
            </w:tr>
          </w:tbl>
          <w:p w:rsidR="00CB404A" w:rsidRPr="00685182" w:rsidRDefault="00CB404A" w:rsidP="006B1DE5">
            <w:pPr>
              <w:spacing w:after="0" w:line="312" w:lineRule="atLeast"/>
              <w:rPr>
                <w:rFonts w:ascii="Lucida Sans Unicode" w:eastAsia="Times New Roman" w:hAnsi="Lucida Sans Unicode" w:cs="Lucida Sans Unicode"/>
                <w:vanish/>
                <w:color w:val="444444"/>
                <w:sz w:val="19"/>
                <w:szCs w:val="19"/>
                <w:lang w:eastAsia="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95"/>
              <w:gridCol w:w="7777"/>
            </w:tblGrid>
            <w:tr w:rsidR="00CB404A" w:rsidRPr="00685182" w:rsidTr="006B1DE5">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CB404A" w:rsidRPr="00685182" w:rsidRDefault="00CB404A" w:rsidP="006B1DE5">
                  <w:pPr>
                    <w:spacing w:before="120" w:after="0" w:line="312" w:lineRule="atLeast"/>
                    <w:jc w:val="both"/>
                    <w:rPr>
                      <w:rFonts w:ascii="Lucida Sans Unicode" w:eastAsia="Times New Roman" w:hAnsi="Lucida Sans Unicode" w:cs="Lucida Sans Unicode"/>
                      <w:color w:val="444444"/>
                      <w:sz w:val="19"/>
                      <w:szCs w:val="19"/>
                      <w:lang w:eastAsia="es-ES"/>
                    </w:rPr>
                  </w:pPr>
                  <w:r w:rsidRPr="00685182">
                    <w:rPr>
                      <w:rFonts w:ascii="Lucida Sans Unicode" w:eastAsia="Times New Roman" w:hAnsi="Lucida Sans Unicode" w:cs="Lucida Sans Unicode"/>
                      <w:color w:val="444444"/>
                      <w:sz w:val="19"/>
                      <w:szCs w:val="19"/>
                      <w:lang w:eastAsia="es-ES"/>
                    </w:rPr>
                    <w:t>—</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CB404A" w:rsidRPr="00685182" w:rsidRDefault="00CB404A" w:rsidP="006B1DE5">
                  <w:pPr>
                    <w:spacing w:before="120" w:after="0" w:line="312" w:lineRule="atLeast"/>
                    <w:jc w:val="both"/>
                    <w:rPr>
                      <w:rFonts w:ascii="Lucida Sans Unicode" w:eastAsia="Times New Roman" w:hAnsi="Lucida Sans Unicode" w:cs="Lucida Sans Unicode"/>
                      <w:color w:val="444444"/>
                      <w:sz w:val="19"/>
                      <w:szCs w:val="19"/>
                      <w:lang w:eastAsia="es-ES"/>
                    </w:rPr>
                  </w:pPr>
                  <w:r w:rsidRPr="00685182">
                    <w:rPr>
                      <w:rFonts w:ascii="Lucida Sans Unicode" w:eastAsia="Times New Roman" w:hAnsi="Lucida Sans Unicode" w:cs="Lucida Sans Unicode"/>
                      <w:b/>
                      <w:bCs/>
                      <w:color w:val="444444"/>
                      <w:sz w:val="19"/>
                      <w:szCs w:val="19"/>
                      <w:lang w:eastAsia="es-ES"/>
                    </w:rPr>
                    <w:t>B: Motivos referidos al pago de impuestos o de cotizaciones a la seguridad social</w:t>
                  </w:r>
                  <w:r w:rsidRPr="00685182">
                    <w:rPr>
                      <w:rFonts w:ascii="Lucida Sans Unicode" w:eastAsia="Times New Roman" w:hAnsi="Lucida Sans Unicode" w:cs="Lucida Sans Unicode"/>
                      <w:color w:val="444444"/>
                      <w:sz w:val="19"/>
                      <w:szCs w:val="19"/>
                      <w:lang w:eastAsia="es-ES"/>
                    </w:rPr>
                    <w:t xml:space="preserve">. Su aplicación es obligatoria en virtud del artículo 57, apartado 2, de la Directiva 2014/24/UE en caso de resolución firme y vinculante. En las mismas condiciones, su aplicación es también obligatoria para los poderes adjudicadores en virtud del artículo 80, apartado 1, párrafo segundo, de la Directiva 2014/25/UE, en tanto que las entidades adjudicadoras distintas de los poderes adjudicadores </w:t>
                  </w:r>
                  <w:r w:rsidRPr="00685182">
                    <w:rPr>
                      <w:rFonts w:ascii="Lucida Sans Unicode" w:eastAsia="Times New Roman" w:hAnsi="Lucida Sans Unicode" w:cs="Lucida Sans Unicode"/>
                      <w:b/>
                      <w:bCs/>
                      <w:color w:val="444444"/>
                      <w:sz w:val="19"/>
                      <w:szCs w:val="19"/>
                      <w:lang w:eastAsia="es-ES"/>
                    </w:rPr>
                    <w:t>pueden</w:t>
                  </w:r>
                  <w:r w:rsidRPr="00685182">
                    <w:rPr>
                      <w:rFonts w:ascii="Lucida Sans Unicode" w:eastAsia="Times New Roman" w:hAnsi="Lucida Sans Unicode" w:cs="Lucida Sans Unicode"/>
                      <w:color w:val="444444"/>
                      <w:sz w:val="19"/>
                      <w:szCs w:val="19"/>
                      <w:lang w:eastAsia="es-ES"/>
                    </w:rPr>
                    <w:t xml:space="preserve"> optar por aplicar estos criterios de exclusión. Conviene tener en cuenta que la legislación nacional de algunos Estados miembros puede hacer que la exclusión sea obligatoria incluso en el caso de que la resolución no sea firme y vinculante.</w:t>
                  </w:r>
                </w:p>
              </w:tc>
            </w:tr>
          </w:tbl>
          <w:p w:rsidR="00CB404A" w:rsidRPr="00685182" w:rsidRDefault="00CB404A" w:rsidP="006B1DE5">
            <w:pPr>
              <w:spacing w:after="0" w:line="312" w:lineRule="atLeast"/>
              <w:rPr>
                <w:rFonts w:ascii="Lucida Sans Unicode" w:eastAsia="Times New Roman" w:hAnsi="Lucida Sans Unicode" w:cs="Lucida Sans Unicode"/>
                <w:vanish/>
                <w:color w:val="444444"/>
                <w:sz w:val="19"/>
                <w:szCs w:val="19"/>
                <w:lang w:eastAsia="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95"/>
              <w:gridCol w:w="7777"/>
            </w:tblGrid>
            <w:tr w:rsidR="00CB404A" w:rsidRPr="00685182" w:rsidTr="006B1DE5">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CB404A" w:rsidRPr="00685182" w:rsidRDefault="00CB404A" w:rsidP="006B1DE5">
                  <w:pPr>
                    <w:spacing w:before="120" w:after="0" w:line="312" w:lineRule="atLeast"/>
                    <w:jc w:val="both"/>
                    <w:rPr>
                      <w:rFonts w:ascii="Lucida Sans Unicode" w:eastAsia="Times New Roman" w:hAnsi="Lucida Sans Unicode" w:cs="Lucida Sans Unicode"/>
                      <w:color w:val="444444"/>
                      <w:sz w:val="19"/>
                      <w:szCs w:val="19"/>
                      <w:lang w:eastAsia="es-ES"/>
                    </w:rPr>
                  </w:pPr>
                  <w:r w:rsidRPr="00685182">
                    <w:rPr>
                      <w:rFonts w:ascii="Lucida Sans Unicode" w:eastAsia="Times New Roman" w:hAnsi="Lucida Sans Unicode" w:cs="Lucida Sans Unicode"/>
                      <w:color w:val="444444"/>
                      <w:sz w:val="19"/>
                      <w:szCs w:val="19"/>
                      <w:lang w:eastAsia="es-ES"/>
                    </w:rPr>
                    <w:t>—</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CB404A" w:rsidRPr="00685182" w:rsidRDefault="00CB404A" w:rsidP="006B1DE5">
                  <w:pPr>
                    <w:spacing w:before="120" w:after="0" w:line="312" w:lineRule="atLeast"/>
                    <w:jc w:val="both"/>
                    <w:rPr>
                      <w:rFonts w:ascii="Lucida Sans Unicode" w:eastAsia="Times New Roman" w:hAnsi="Lucida Sans Unicode" w:cs="Lucida Sans Unicode"/>
                      <w:color w:val="444444"/>
                      <w:sz w:val="19"/>
                      <w:szCs w:val="19"/>
                      <w:lang w:eastAsia="es-ES"/>
                    </w:rPr>
                  </w:pPr>
                  <w:r w:rsidRPr="00685182">
                    <w:rPr>
                      <w:rFonts w:ascii="Lucida Sans Unicode" w:eastAsia="Times New Roman" w:hAnsi="Lucida Sans Unicode" w:cs="Lucida Sans Unicode"/>
                      <w:b/>
                      <w:bCs/>
                      <w:color w:val="444444"/>
                      <w:sz w:val="19"/>
                      <w:szCs w:val="19"/>
                      <w:lang w:eastAsia="es-ES"/>
                    </w:rPr>
                    <w:t>C: Motivos referidos a la insolvencia, los conflictos de intereses o la falta profesional (véase el artículo 57, apartado 4, de la Directiva 2014/24/UE)</w:t>
                  </w:r>
                  <w:r w:rsidRPr="00685182">
                    <w:rPr>
                      <w:rFonts w:ascii="Lucida Sans Unicode" w:eastAsia="Times New Roman" w:hAnsi="Lucida Sans Unicode" w:cs="Lucida Sans Unicode"/>
                      <w:color w:val="444444"/>
                      <w:sz w:val="19"/>
                      <w:szCs w:val="19"/>
                      <w:lang w:eastAsia="es-ES"/>
                    </w:rPr>
                    <w:t xml:space="preserve">. En estos supuestos los operadores económicos pueden ser excluidos; los Estados miembros pueden obligar a los poderes adjudicadores a aplicar estos motivos de exclusión. De conformidad con el artículo 80, apartado 1, de la Directiva 2014/25/UE, todas las entidades adjudicadoras, sean o no poderes adjudicadores, </w:t>
                  </w:r>
                  <w:r w:rsidRPr="00685182">
                    <w:rPr>
                      <w:rFonts w:ascii="Lucida Sans Unicode" w:eastAsia="Times New Roman" w:hAnsi="Lucida Sans Unicode" w:cs="Lucida Sans Unicode"/>
                      <w:b/>
                      <w:bCs/>
                      <w:color w:val="444444"/>
                      <w:sz w:val="19"/>
                      <w:szCs w:val="19"/>
                      <w:lang w:eastAsia="es-ES"/>
                    </w:rPr>
                    <w:t>pueden</w:t>
                  </w:r>
                  <w:r w:rsidRPr="00685182">
                    <w:rPr>
                      <w:rFonts w:ascii="Lucida Sans Unicode" w:eastAsia="Times New Roman" w:hAnsi="Lucida Sans Unicode" w:cs="Lucida Sans Unicode"/>
                      <w:color w:val="444444"/>
                      <w:sz w:val="19"/>
                      <w:szCs w:val="19"/>
                      <w:lang w:eastAsia="es-ES"/>
                    </w:rPr>
                    <w:t xml:space="preserve"> optar por aplicar estos motivos de exclusión o estar obligadas a hacerlo por imposición de su Estado miembro.</w:t>
                  </w:r>
                </w:p>
              </w:tc>
            </w:tr>
          </w:tbl>
          <w:p w:rsidR="00CB404A" w:rsidRPr="00685182" w:rsidRDefault="00CB404A" w:rsidP="006B1DE5">
            <w:pPr>
              <w:spacing w:after="0" w:line="312" w:lineRule="atLeast"/>
              <w:rPr>
                <w:rFonts w:ascii="Lucida Sans Unicode" w:eastAsia="Times New Roman" w:hAnsi="Lucida Sans Unicode" w:cs="Lucida Sans Unicode"/>
                <w:vanish/>
                <w:color w:val="444444"/>
                <w:sz w:val="19"/>
                <w:szCs w:val="19"/>
                <w:lang w:eastAsia="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95"/>
              <w:gridCol w:w="7777"/>
            </w:tblGrid>
            <w:tr w:rsidR="00CB404A" w:rsidRPr="00685182" w:rsidTr="006B1DE5">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CB404A" w:rsidRPr="00685182" w:rsidRDefault="00CB404A" w:rsidP="006B1DE5">
                  <w:pPr>
                    <w:spacing w:before="120" w:after="0" w:line="312" w:lineRule="atLeast"/>
                    <w:jc w:val="both"/>
                    <w:rPr>
                      <w:rFonts w:ascii="Lucida Sans Unicode" w:eastAsia="Times New Roman" w:hAnsi="Lucida Sans Unicode" w:cs="Lucida Sans Unicode"/>
                      <w:color w:val="444444"/>
                      <w:sz w:val="19"/>
                      <w:szCs w:val="19"/>
                      <w:lang w:eastAsia="es-ES"/>
                    </w:rPr>
                  </w:pPr>
                  <w:r w:rsidRPr="00685182">
                    <w:rPr>
                      <w:rFonts w:ascii="Lucida Sans Unicode" w:eastAsia="Times New Roman" w:hAnsi="Lucida Sans Unicode" w:cs="Lucida Sans Unicode"/>
                      <w:color w:val="444444"/>
                      <w:sz w:val="19"/>
                      <w:szCs w:val="19"/>
                      <w:lang w:eastAsia="es-ES"/>
                    </w:rPr>
                    <w:t>—</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CB404A" w:rsidRPr="00685182" w:rsidRDefault="00CB404A" w:rsidP="006B1DE5">
                  <w:pPr>
                    <w:spacing w:before="120" w:after="0" w:line="312" w:lineRule="atLeast"/>
                    <w:jc w:val="both"/>
                    <w:rPr>
                      <w:rFonts w:ascii="Lucida Sans Unicode" w:eastAsia="Times New Roman" w:hAnsi="Lucida Sans Unicode" w:cs="Lucida Sans Unicode"/>
                      <w:color w:val="444444"/>
                      <w:sz w:val="19"/>
                      <w:szCs w:val="19"/>
                      <w:lang w:eastAsia="es-ES"/>
                    </w:rPr>
                  </w:pPr>
                  <w:r w:rsidRPr="00685182">
                    <w:rPr>
                      <w:rFonts w:ascii="Lucida Sans Unicode" w:eastAsia="Times New Roman" w:hAnsi="Lucida Sans Unicode" w:cs="Lucida Sans Unicode"/>
                      <w:b/>
                      <w:bCs/>
                      <w:color w:val="444444"/>
                      <w:sz w:val="19"/>
                      <w:szCs w:val="19"/>
                      <w:lang w:eastAsia="es-ES"/>
                    </w:rPr>
                    <w:t>D: Otros motivos de exclusión que pueden estar previstos en la legislación nacional del Estado miembro del poder adjudicador o de la entidad adjudicadora</w:t>
                  </w:r>
                  <w:r w:rsidRPr="00685182">
                    <w:rPr>
                      <w:rFonts w:ascii="Lucida Sans Unicode" w:eastAsia="Times New Roman" w:hAnsi="Lucida Sans Unicode" w:cs="Lucida Sans Unicode"/>
                      <w:color w:val="444444"/>
                      <w:sz w:val="19"/>
                      <w:szCs w:val="19"/>
                      <w:lang w:eastAsia="es-ES"/>
                    </w:rPr>
                    <w:t xml:space="preserve"> </w:t>
                  </w:r>
                </w:p>
              </w:tc>
            </w:tr>
          </w:tbl>
          <w:p w:rsidR="00CB404A" w:rsidRPr="00685182" w:rsidRDefault="00CB404A" w:rsidP="006B1DE5">
            <w:pPr>
              <w:spacing w:after="0" w:line="312" w:lineRule="atLeast"/>
              <w:rPr>
                <w:rFonts w:ascii="Lucida Sans Unicode" w:eastAsia="Times New Roman" w:hAnsi="Lucida Sans Unicode" w:cs="Lucida Sans Unicode"/>
                <w:color w:val="444444"/>
                <w:sz w:val="19"/>
                <w:szCs w:val="19"/>
                <w:lang w:eastAsia="es-ES"/>
              </w:rPr>
            </w:pPr>
          </w:p>
        </w:tc>
      </w:tr>
    </w:tbl>
    <w:p w:rsidR="00CB404A" w:rsidRPr="00685182" w:rsidRDefault="00CB404A" w:rsidP="00CB404A">
      <w:pPr>
        <w:shd w:val="clear" w:color="auto" w:fill="EEEEEE"/>
        <w:spacing w:line="312" w:lineRule="atLeast"/>
        <w:rPr>
          <w:rFonts w:ascii="Times New Roman" w:eastAsia="Times New Roman" w:hAnsi="Times New Roman"/>
          <w:vanish/>
          <w:color w:val="444444"/>
          <w:sz w:val="27"/>
          <w:szCs w:val="27"/>
          <w:lang w:eastAsia="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95"/>
        <w:gridCol w:w="8193"/>
      </w:tblGrid>
      <w:tr w:rsidR="00CB404A" w:rsidRPr="00685182" w:rsidTr="006B1DE5">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CB404A" w:rsidRPr="00685182" w:rsidRDefault="00CB404A" w:rsidP="006B1DE5">
            <w:pPr>
              <w:spacing w:before="120" w:after="0" w:line="312" w:lineRule="atLeast"/>
              <w:jc w:val="both"/>
              <w:rPr>
                <w:rFonts w:ascii="Lucida Sans Unicode" w:eastAsia="Times New Roman" w:hAnsi="Lucida Sans Unicode" w:cs="Lucida Sans Unicode"/>
                <w:color w:val="444444"/>
                <w:sz w:val="19"/>
                <w:szCs w:val="19"/>
                <w:lang w:eastAsia="es-ES"/>
              </w:rPr>
            </w:pPr>
            <w:r w:rsidRPr="00685182">
              <w:rPr>
                <w:rFonts w:ascii="Lucida Sans Unicode" w:eastAsia="Times New Roman" w:hAnsi="Lucida Sans Unicode" w:cs="Lucida Sans Unicode"/>
                <w:color w:val="444444"/>
                <w:sz w:val="19"/>
                <w:szCs w:val="19"/>
                <w:lang w:eastAsia="es-ES"/>
              </w:rPr>
              <w:t>—</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CB404A" w:rsidRPr="00685182" w:rsidRDefault="00CB404A" w:rsidP="006B1DE5">
            <w:pPr>
              <w:spacing w:before="120" w:after="0" w:line="312" w:lineRule="atLeast"/>
              <w:jc w:val="both"/>
              <w:rPr>
                <w:rFonts w:ascii="Lucida Sans Unicode" w:eastAsia="Times New Roman" w:hAnsi="Lucida Sans Unicode" w:cs="Lucida Sans Unicode"/>
                <w:color w:val="444444"/>
                <w:sz w:val="19"/>
                <w:szCs w:val="19"/>
                <w:lang w:eastAsia="es-ES"/>
              </w:rPr>
            </w:pPr>
            <w:r w:rsidRPr="00685182">
              <w:rPr>
                <w:rFonts w:ascii="Lucida Sans Unicode" w:eastAsia="Times New Roman" w:hAnsi="Lucida Sans Unicode" w:cs="Lucida Sans Unicode"/>
                <w:b/>
                <w:bCs/>
                <w:color w:val="444444"/>
                <w:sz w:val="19"/>
                <w:szCs w:val="19"/>
                <w:lang w:eastAsia="es-ES"/>
              </w:rPr>
              <w:t>Parte IV. Criterios de selección</w:t>
            </w:r>
            <w:r w:rsidRPr="00685182">
              <w:rPr>
                <w:rFonts w:ascii="Lucida Sans Unicode" w:eastAsia="Times New Roman" w:hAnsi="Lucida Sans Unicode" w:cs="Lucida Sans Unicode"/>
                <w:color w:val="444444"/>
                <w:sz w:val="19"/>
                <w:szCs w:val="19"/>
                <w:lang w:eastAsia="es-ES"/>
              </w:rPr>
              <w:t xml:space="preserve"> </w:t>
            </w:r>
            <w:hyperlink r:id="rId24" w:anchor="ntr16-L_2016003ES.01001801-E0016" w:history="1">
              <w:r w:rsidRPr="00685182">
                <w:rPr>
                  <w:rFonts w:ascii="Lucida Sans Unicode" w:eastAsia="Times New Roman" w:hAnsi="Lucida Sans Unicode" w:cs="Lucida Sans Unicode"/>
                  <w:color w:val="0000FF"/>
                  <w:sz w:val="19"/>
                  <w:szCs w:val="19"/>
                  <w:u w:val="single"/>
                  <w:lang w:eastAsia="es-ES"/>
                </w:rPr>
                <w:t> (</w:t>
              </w:r>
              <w:r w:rsidRPr="00685182">
                <w:rPr>
                  <w:rFonts w:ascii="Lucida Sans Unicode" w:eastAsia="Times New Roman" w:hAnsi="Lucida Sans Unicode" w:cs="Lucida Sans Unicode"/>
                  <w:color w:val="0000FF"/>
                  <w:sz w:val="13"/>
                  <w:szCs w:val="13"/>
                  <w:u w:val="single"/>
                  <w:vertAlign w:val="superscript"/>
                  <w:lang w:eastAsia="es-ES"/>
                </w:rPr>
                <w:t>16</w:t>
              </w:r>
              <w:r w:rsidRPr="00685182">
                <w:rPr>
                  <w:rFonts w:ascii="Lucida Sans Unicode" w:eastAsia="Times New Roman" w:hAnsi="Lucida Sans Unicode" w:cs="Lucida Sans Unicode"/>
                  <w:color w:val="0000FF"/>
                  <w:sz w:val="19"/>
                  <w:szCs w:val="19"/>
                  <w:u w:val="single"/>
                  <w:lang w:eastAsia="es-ES"/>
                </w:rPr>
                <w:t>)</w:t>
              </w:r>
            </w:hyperlink>
            <w:r w:rsidRPr="00685182">
              <w:rPr>
                <w:rFonts w:ascii="Lucida Sans Unicode" w:eastAsia="Times New Roman" w:hAnsi="Lucida Sans Unicode" w:cs="Lucida Sans Unicode"/>
                <w:color w:val="444444"/>
                <w:sz w:val="19"/>
                <w:szCs w:val="19"/>
                <w:lang w:eastAsia="es-ES"/>
              </w:rPr>
              <w:t>:</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394"/>
              <w:gridCol w:w="7678"/>
            </w:tblGrid>
            <w:tr w:rsidR="00CB404A" w:rsidRPr="00685182" w:rsidTr="006B1DE5">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CB404A" w:rsidRPr="00685182" w:rsidRDefault="00CB404A" w:rsidP="006B1DE5">
                  <w:pPr>
                    <w:spacing w:before="120" w:after="0" w:line="312" w:lineRule="atLeast"/>
                    <w:jc w:val="both"/>
                    <w:rPr>
                      <w:rFonts w:ascii="Lucida Sans Unicode" w:eastAsia="Times New Roman" w:hAnsi="Lucida Sans Unicode" w:cs="Lucida Sans Unicode"/>
                      <w:color w:val="444444"/>
                      <w:sz w:val="19"/>
                      <w:szCs w:val="19"/>
                      <w:lang w:eastAsia="es-ES"/>
                    </w:rPr>
                  </w:pPr>
                  <w:r w:rsidRPr="00685182">
                    <w:rPr>
                      <w:rFonts w:ascii="Lucida Sans Unicode" w:eastAsia="Times New Roman" w:hAnsi="Lucida Sans Unicode" w:cs="Lucida Sans Unicode"/>
                      <w:color w:val="444444"/>
                      <w:sz w:val="19"/>
                      <w:szCs w:val="19"/>
                      <w:lang w:eastAsia="es-ES"/>
                    </w:rPr>
                    <w:t>—</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CB404A" w:rsidRPr="00685182" w:rsidRDefault="00CB404A" w:rsidP="006B1DE5">
                  <w:pPr>
                    <w:spacing w:before="120" w:after="0" w:line="312" w:lineRule="atLeast"/>
                    <w:jc w:val="both"/>
                    <w:rPr>
                      <w:rFonts w:ascii="Lucida Sans Unicode" w:eastAsia="Times New Roman" w:hAnsi="Lucida Sans Unicode" w:cs="Lucida Sans Unicode"/>
                      <w:color w:val="444444"/>
                      <w:sz w:val="19"/>
                      <w:szCs w:val="19"/>
                      <w:lang w:eastAsia="es-ES"/>
                    </w:rPr>
                  </w:pPr>
                  <w:r w:rsidRPr="00685182">
                    <w:rPr>
                      <w:rFonts w:ascii="Lucida Sans Unicode" w:eastAsia="Times New Roman" w:hAnsi="Lucida Sans Unicode" w:cs="Lucida Sans Unicode"/>
                      <w:b/>
                      <w:bCs/>
                      <w:color w:val="444444"/>
                      <w:sz w:val="19"/>
                      <w:szCs w:val="19"/>
                      <w:lang w:eastAsia="es-ES"/>
                    </w:rPr>
                    <w:t>α: Indicación global relativa a todos los criterios de selección</w:t>
                  </w:r>
                  <w:r w:rsidRPr="00685182">
                    <w:rPr>
                      <w:rFonts w:ascii="Lucida Sans Unicode" w:eastAsia="Times New Roman" w:hAnsi="Lucida Sans Unicode" w:cs="Lucida Sans Unicode"/>
                      <w:color w:val="444444"/>
                      <w:sz w:val="19"/>
                      <w:szCs w:val="19"/>
                      <w:lang w:eastAsia="es-ES"/>
                    </w:rPr>
                    <w:t xml:space="preserve"> </w:t>
                  </w:r>
                </w:p>
              </w:tc>
            </w:tr>
          </w:tbl>
          <w:p w:rsidR="00CB404A" w:rsidRPr="00685182" w:rsidRDefault="00CB404A" w:rsidP="006B1DE5">
            <w:pPr>
              <w:spacing w:after="0" w:line="312" w:lineRule="atLeast"/>
              <w:rPr>
                <w:rFonts w:ascii="Lucida Sans Unicode" w:eastAsia="Times New Roman" w:hAnsi="Lucida Sans Unicode" w:cs="Lucida Sans Unicode"/>
                <w:vanish/>
                <w:color w:val="444444"/>
                <w:sz w:val="19"/>
                <w:szCs w:val="19"/>
                <w:lang w:eastAsia="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617"/>
              <w:gridCol w:w="7455"/>
            </w:tblGrid>
            <w:tr w:rsidR="00CB404A" w:rsidRPr="00685182" w:rsidTr="006B1DE5">
              <w:tc>
                <w:tcPr>
                  <w:tcW w:w="382" w:type="pct"/>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CB404A" w:rsidRPr="00685182" w:rsidRDefault="00CB404A" w:rsidP="006B1DE5">
                  <w:pPr>
                    <w:spacing w:before="120" w:after="0" w:line="312" w:lineRule="atLeast"/>
                    <w:jc w:val="both"/>
                    <w:rPr>
                      <w:rFonts w:ascii="Lucida Sans Unicode" w:eastAsia="Times New Roman" w:hAnsi="Lucida Sans Unicode" w:cs="Lucida Sans Unicode"/>
                      <w:color w:val="444444"/>
                      <w:sz w:val="19"/>
                      <w:szCs w:val="19"/>
                      <w:lang w:eastAsia="es-ES"/>
                    </w:rPr>
                  </w:pPr>
                  <w:r w:rsidRPr="00685182">
                    <w:rPr>
                      <w:rFonts w:ascii="Lucida Sans Unicode" w:eastAsia="Times New Roman" w:hAnsi="Lucida Sans Unicode" w:cs="Lucida Sans Unicode"/>
                      <w:color w:val="444444"/>
                      <w:sz w:val="19"/>
                      <w:szCs w:val="19"/>
                      <w:lang w:eastAsia="es-ES"/>
                    </w:rPr>
                    <w:t>—</w:t>
                  </w:r>
                </w:p>
              </w:tc>
              <w:tc>
                <w:tcPr>
                  <w:tcW w:w="4618" w:type="pct"/>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CB404A" w:rsidRPr="00685182" w:rsidRDefault="00CB404A" w:rsidP="006B1DE5">
                  <w:pPr>
                    <w:spacing w:before="120" w:after="0" w:line="312" w:lineRule="atLeast"/>
                    <w:jc w:val="both"/>
                    <w:rPr>
                      <w:rFonts w:ascii="Lucida Sans Unicode" w:eastAsia="Times New Roman" w:hAnsi="Lucida Sans Unicode" w:cs="Lucida Sans Unicode"/>
                      <w:color w:val="444444"/>
                      <w:sz w:val="19"/>
                      <w:szCs w:val="19"/>
                      <w:lang w:eastAsia="es-ES"/>
                    </w:rPr>
                  </w:pPr>
                  <w:r>
                    <w:rPr>
                      <w:rFonts w:ascii="Lucida Sans Unicode" w:eastAsia="Times New Roman" w:hAnsi="Lucida Sans Unicode" w:cs="Lucida Sans Unicode"/>
                      <w:b/>
                      <w:bCs/>
                      <w:color w:val="444444"/>
                      <w:sz w:val="19"/>
                      <w:szCs w:val="19"/>
                      <w:lang w:eastAsia="es-ES"/>
                    </w:rPr>
                    <w:t xml:space="preserve"> </w:t>
                  </w:r>
                  <w:r w:rsidRPr="00685182">
                    <w:rPr>
                      <w:rFonts w:ascii="Lucida Sans Unicode" w:eastAsia="Times New Roman" w:hAnsi="Lucida Sans Unicode" w:cs="Lucida Sans Unicode"/>
                      <w:b/>
                      <w:bCs/>
                      <w:color w:val="444444"/>
                      <w:sz w:val="19"/>
                      <w:szCs w:val="19"/>
                      <w:lang w:eastAsia="es-ES"/>
                    </w:rPr>
                    <w:t>A: Idoneidad</w:t>
                  </w:r>
                  <w:r w:rsidRPr="00685182">
                    <w:rPr>
                      <w:rFonts w:ascii="Lucida Sans Unicode" w:eastAsia="Times New Roman" w:hAnsi="Lucida Sans Unicode" w:cs="Lucida Sans Unicode"/>
                      <w:color w:val="444444"/>
                      <w:sz w:val="19"/>
                      <w:szCs w:val="19"/>
                      <w:lang w:eastAsia="es-ES"/>
                    </w:rPr>
                    <w:t xml:space="preserve"> </w:t>
                  </w:r>
                </w:p>
              </w:tc>
            </w:tr>
          </w:tbl>
          <w:p w:rsidR="00CB404A" w:rsidRPr="00685182" w:rsidRDefault="00CB404A" w:rsidP="006B1DE5">
            <w:pPr>
              <w:spacing w:after="0" w:line="312" w:lineRule="atLeast"/>
              <w:rPr>
                <w:rFonts w:ascii="Lucida Sans Unicode" w:eastAsia="Times New Roman" w:hAnsi="Lucida Sans Unicode" w:cs="Lucida Sans Unicode"/>
                <w:vanish/>
                <w:color w:val="444444"/>
                <w:sz w:val="19"/>
                <w:szCs w:val="19"/>
                <w:lang w:eastAsia="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651"/>
              <w:gridCol w:w="7421"/>
            </w:tblGrid>
            <w:tr w:rsidR="00CB404A" w:rsidRPr="00685182" w:rsidTr="006B1DE5">
              <w:tc>
                <w:tcPr>
                  <w:tcW w:w="403" w:type="pct"/>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CB404A" w:rsidRPr="00685182" w:rsidRDefault="00CB404A" w:rsidP="006B1DE5">
                  <w:pPr>
                    <w:spacing w:before="120" w:after="0" w:line="312" w:lineRule="atLeast"/>
                    <w:jc w:val="both"/>
                    <w:rPr>
                      <w:rFonts w:ascii="Lucida Sans Unicode" w:eastAsia="Times New Roman" w:hAnsi="Lucida Sans Unicode" w:cs="Lucida Sans Unicode"/>
                      <w:color w:val="444444"/>
                      <w:sz w:val="19"/>
                      <w:szCs w:val="19"/>
                      <w:lang w:eastAsia="es-ES"/>
                    </w:rPr>
                  </w:pPr>
                  <w:r w:rsidRPr="00685182">
                    <w:rPr>
                      <w:rFonts w:ascii="Lucida Sans Unicode" w:eastAsia="Times New Roman" w:hAnsi="Lucida Sans Unicode" w:cs="Lucida Sans Unicode"/>
                      <w:color w:val="444444"/>
                      <w:sz w:val="19"/>
                      <w:szCs w:val="19"/>
                      <w:lang w:eastAsia="es-ES"/>
                    </w:rPr>
                    <w:t>—</w:t>
                  </w:r>
                </w:p>
              </w:tc>
              <w:tc>
                <w:tcPr>
                  <w:tcW w:w="4597" w:type="pct"/>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CB404A" w:rsidRPr="00685182" w:rsidRDefault="00CB404A" w:rsidP="006B1DE5">
                  <w:pPr>
                    <w:spacing w:before="120" w:after="0" w:line="312" w:lineRule="atLeast"/>
                    <w:jc w:val="both"/>
                    <w:rPr>
                      <w:rFonts w:ascii="Lucida Sans Unicode" w:eastAsia="Times New Roman" w:hAnsi="Lucida Sans Unicode" w:cs="Lucida Sans Unicode"/>
                      <w:color w:val="444444"/>
                      <w:sz w:val="19"/>
                      <w:szCs w:val="19"/>
                      <w:lang w:eastAsia="es-ES"/>
                    </w:rPr>
                  </w:pPr>
                  <w:r w:rsidRPr="00685182">
                    <w:rPr>
                      <w:rFonts w:ascii="Lucida Sans Unicode" w:eastAsia="Times New Roman" w:hAnsi="Lucida Sans Unicode" w:cs="Lucida Sans Unicode"/>
                      <w:b/>
                      <w:bCs/>
                      <w:color w:val="444444"/>
                      <w:sz w:val="19"/>
                      <w:szCs w:val="19"/>
                      <w:lang w:eastAsia="es-ES"/>
                    </w:rPr>
                    <w:t>B: Solvencia económica y financiera</w:t>
                  </w:r>
                  <w:r w:rsidRPr="00685182">
                    <w:rPr>
                      <w:rFonts w:ascii="Lucida Sans Unicode" w:eastAsia="Times New Roman" w:hAnsi="Lucida Sans Unicode" w:cs="Lucida Sans Unicode"/>
                      <w:color w:val="444444"/>
                      <w:sz w:val="19"/>
                      <w:szCs w:val="19"/>
                      <w:lang w:eastAsia="es-ES"/>
                    </w:rPr>
                    <w:t xml:space="preserve"> </w:t>
                  </w:r>
                </w:p>
              </w:tc>
            </w:tr>
          </w:tbl>
          <w:p w:rsidR="00CB404A" w:rsidRPr="00685182" w:rsidRDefault="00CB404A" w:rsidP="006B1DE5">
            <w:pPr>
              <w:spacing w:after="0" w:line="312" w:lineRule="atLeast"/>
              <w:rPr>
                <w:rFonts w:ascii="Lucida Sans Unicode" w:eastAsia="Times New Roman" w:hAnsi="Lucida Sans Unicode" w:cs="Lucida Sans Unicode"/>
                <w:vanish/>
                <w:color w:val="444444"/>
                <w:sz w:val="19"/>
                <w:szCs w:val="19"/>
                <w:lang w:eastAsia="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666"/>
              <w:gridCol w:w="7406"/>
            </w:tblGrid>
            <w:tr w:rsidR="00CB404A" w:rsidRPr="00685182" w:rsidTr="006B1DE5">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CB404A" w:rsidRPr="00685182" w:rsidRDefault="00CB404A" w:rsidP="006B1DE5">
                  <w:pPr>
                    <w:spacing w:before="120" w:after="0" w:line="312" w:lineRule="atLeast"/>
                    <w:jc w:val="both"/>
                    <w:rPr>
                      <w:rFonts w:ascii="Lucida Sans Unicode" w:eastAsia="Times New Roman" w:hAnsi="Lucida Sans Unicode" w:cs="Lucida Sans Unicode"/>
                      <w:color w:val="444444"/>
                      <w:sz w:val="19"/>
                      <w:szCs w:val="19"/>
                      <w:lang w:eastAsia="es-ES"/>
                    </w:rPr>
                  </w:pPr>
                  <w:r w:rsidRPr="00685182">
                    <w:rPr>
                      <w:rFonts w:ascii="Lucida Sans Unicode" w:eastAsia="Times New Roman" w:hAnsi="Lucida Sans Unicode" w:cs="Lucida Sans Unicode"/>
                      <w:color w:val="444444"/>
                      <w:sz w:val="19"/>
                      <w:szCs w:val="19"/>
                      <w:lang w:eastAsia="es-ES"/>
                    </w:rPr>
                    <w:t>—</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CB404A" w:rsidRPr="00685182" w:rsidRDefault="00CB404A" w:rsidP="006B1DE5">
                  <w:pPr>
                    <w:spacing w:before="120" w:after="0" w:line="312" w:lineRule="atLeast"/>
                    <w:jc w:val="both"/>
                    <w:rPr>
                      <w:rFonts w:ascii="Lucida Sans Unicode" w:eastAsia="Times New Roman" w:hAnsi="Lucida Sans Unicode" w:cs="Lucida Sans Unicode"/>
                      <w:color w:val="444444"/>
                      <w:sz w:val="19"/>
                      <w:szCs w:val="19"/>
                      <w:lang w:eastAsia="es-ES"/>
                    </w:rPr>
                  </w:pPr>
                  <w:r w:rsidRPr="00685182">
                    <w:rPr>
                      <w:rFonts w:ascii="Lucida Sans Unicode" w:eastAsia="Times New Roman" w:hAnsi="Lucida Sans Unicode" w:cs="Lucida Sans Unicode"/>
                      <w:b/>
                      <w:bCs/>
                      <w:color w:val="444444"/>
                      <w:sz w:val="19"/>
                      <w:szCs w:val="19"/>
                      <w:lang w:eastAsia="es-ES"/>
                    </w:rPr>
                    <w:t>C: Capacidad técnica y profesional</w:t>
                  </w:r>
                  <w:r w:rsidRPr="00685182">
                    <w:rPr>
                      <w:rFonts w:ascii="Lucida Sans Unicode" w:eastAsia="Times New Roman" w:hAnsi="Lucida Sans Unicode" w:cs="Lucida Sans Unicode"/>
                      <w:color w:val="444444"/>
                      <w:sz w:val="19"/>
                      <w:szCs w:val="19"/>
                      <w:lang w:eastAsia="es-ES"/>
                    </w:rPr>
                    <w:t xml:space="preserve"> </w:t>
                  </w:r>
                </w:p>
              </w:tc>
            </w:tr>
          </w:tbl>
          <w:p w:rsidR="00CB404A" w:rsidRPr="00685182" w:rsidRDefault="00CB404A" w:rsidP="006B1DE5">
            <w:pPr>
              <w:spacing w:after="0" w:line="312" w:lineRule="atLeast"/>
              <w:rPr>
                <w:rFonts w:ascii="Lucida Sans Unicode" w:eastAsia="Times New Roman" w:hAnsi="Lucida Sans Unicode" w:cs="Lucida Sans Unicode"/>
                <w:vanish/>
                <w:color w:val="444444"/>
                <w:sz w:val="19"/>
                <w:szCs w:val="19"/>
                <w:lang w:eastAsia="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95"/>
              <w:gridCol w:w="7777"/>
            </w:tblGrid>
            <w:tr w:rsidR="00CB404A" w:rsidRPr="00685182" w:rsidTr="006B1DE5">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CB404A" w:rsidRPr="00685182" w:rsidRDefault="00CB404A" w:rsidP="006B1DE5">
                  <w:pPr>
                    <w:spacing w:before="120" w:after="0" w:line="312" w:lineRule="atLeast"/>
                    <w:jc w:val="both"/>
                    <w:rPr>
                      <w:rFonts w:ascii="Lucida Sans Unicode" w:eastAsia="Times New Roman" w:hAnsi="Lucida Sans Unicode" w:cs="Lucida Sans Unicode"/>
                      <w:color w:val="444444"/>
                      <w:sz w:val="19"/>
                      <w:szCs w:val="19"/>
                      <w:lang w:eastAsia="es-ES"/>
                    </w:rPr>
                  </w:pPr>
                  <w:r w:rsidRPr="00685182">
                    <w:rPr>
                      <w:rFonts w:ascii="Lucida Sans Unicode" w:eastAsia="Times New Roman" w:hAnsi="Lucida Sans Unicode" w:cs="Lucida Sans Unicode"/>
                      <w:color w:val="444444"/>
                      <w:sz w:val="19"/>
                      <w:szCs w:val="19"/>
                      <w:lang w:eastAsia="es-ES"/>
                    </w:rPr>
                    <w:t>—</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CB404A" w:rsidRPr="00685182" w:rsidRDefault="00CB404A" w:rsidP="006B1DE5">
                  <w:pPr>
                    <w:spacing w:before="120" w:after="0" w:line="312" w:lineRule="atLeast"/>
                    <w:jc w:val="both"/>
                    <w:rPr>
                      <w:rFonts w:ascii="Lucida Sans Unicode" w:eastAsia="Times New Roman" w:hAnsi="Lucida Sans Unicode" w:cs="Lucida Sans Unicode"/>
                      <w:color w:val="444444"/>
                      <w:sz w:val="19"/>
                      <w:szCs w:val="19"/>
                      <w:lang w:eastAsia="es-ES"/>
                    </w:rPr>
                  </w:pPr>
                  <w:r>
                    <w:rPr>
                      <w:rFonts w:ascii="Lucida Sans Unicode" w:eastAsia="Times New Roman" w:hAnsi="Lucida Sans Unicode" w:cs="Lucida Sans Unicode"/>
                      <w:b/>
                      <w:bCs/>
                      <w:color w:val="444444"/>
                      <w:sz w:val="19"/>
                      <w:szCs w:val="19"/>
                      <w:lang w:eastAsia="es-ES"/>
                    </w:rPr>
                    <w:t xml:space="preserve">       </w:t>
                  </w:r>
                  <w:r w:rsidRPr="00685182">
                    <w:rPr>
                      <w:rFonts w:ascii="Lucida Sans Unicode" w:eastAsia="Times New Roman" w:hAnsi="Lucida Sans Unicode" w:cs="Lucida Sans Unicode"/>
                      <w:b/>
                      <w:bCs/>
                      <w:color w:val="444444"/>
                      <w:sz w:val="19"/>
                      <w:szCs w:val="19"/>
                      <w:lang w:eastAsia="es-ES"/>
                    </w:rPr>
                    <w:t>D: Sistemas de aseguramiento de la calidad y normas de gestión medioambiental</w:t>
                  </w:r>
                  <w:r w:rsidRPr="00685182">
                    <w:rPr>
                      <w:rFonts w:ascii="Lucida Sans Unicode" w:eastAsia="Times New Roman" w:hAnsi="Lucida Sans Unicode" w:cs="Lucida Sans Unicode"/>
                      <w:color w:val="444444"/>
                      <w:sz w:val="19"/>
                      <w:szCs w:val="19"/>
                      <w:lang w:eastAsia="es-ES"/>
                    </w:rPr>
                    <w:t xml:space="preserve"> </w:t>
                  </w:r>
                  <w:hyperlink r:id="rId25" w:anchor="ntr17-L_2016003ES.01001801-E0017" w:history="1">
                    <w:r w:rsidRPr="00685182">
                      <w:rPr>
                        <w:rFonts w:ascii="Lucida Sans Unicode" w:eastAsia="Times New Roman" w:hAnsi="Lucida Sans Unicode" w:cs="Lucida Sans Unicode"/>
                        <w:color w:val="0000FF"/>
                        <w:sz w:val="19"/>
                        <w:szCs w:val="19"/>
                        <w:u w:val="single"/>
                        <w:lang w:eastAsia="es-ES"/>
                      </w:rPr>
                      <w:t> (</w:t>
                    </w:r>
                    <w:r w:rsidRPr="00685182">
                      <w:rPr>
                        <w:rFonts w:ascii="Lucida Sans Unicode" w:eastAsia="Times New Roman" w:hAnsi="Lucida Sans Unicode" w:cs="Lucida Sans Unicode"/>
                        <w:color w:val="0000FF"/>
                        <w:sz w:val="13"/>
                        <w:szCs w:val="13"/>
                        <w:u w:val="single"/>
                        <w:vertAlign w:val="superscript"/>
                        <w:lang w:eastAsia="es-ES"/>
                      </w:rPr>
                      <w:t>17</w:t>
                    </w:r>
                    <w:r w:rsidRPr="00685182">
                      <w:rPr>
                        <w:rFonts w:ascii="Lucida Sans Unicode" w:eastAsia="Times New Roman" w:hAnsi="Lucida Sans Unicode" w:cs="Lucida Sans Unicode"/>
                        <w:color w:val="0000FF"/>
                        <w:sz w:val="19"/>
                        <w:szCs w:val="19"/>
                        <w:u w:val="single"/>
                        <w:lang w:eastAsia="es-ES"/>
                      </w:rPr>
                      <w:t>)</w:t>
                    </w:r>
                  </w:hyperlink>
                  <w:r w:rsidRPr="00685182">
                    <w:rPr>
                      <w:rFonts w:ascii="Lucida Sans Unicode" w:eastAsia="Times New Roman" w:hAnsi="Lucida Sans Unicode" w:cs="Lucida Sans Unicode"/>
                      <w:color w:val="444444"/>
                      <w:sz w:val="19"/>
                      <w:szCs w:val="19"/>
                      <w:lang w:eastAsia="es-ES"/>
                    </w:rPr>
                    <w:t xml:space="preserve"> </w:t>
                  </w:r>
                  <w:hyperlink r:id="rId26" w:anchor="ntr18-L_2016003ES.01001801-E0018" w:history="1">
                    <w:r w:rsidRPr="00685182">
                      <w:rPr>
                        <w:rFonts w:ascii="Lucida Sans Unicode" w:eastAsia="Times New Roman" w:hAnsi="Lucida Sans Unicode" w:cs="Lucida Sans Unicode"/>
                        <w:color w:val="0000FF"/>
                        <w:sz w:val="19"/>
                        <w:szCs w:val="19"/>
                        <w:u w:val="single"/>
                        <w:lang w:eastAsia="es-ES"/>
                      </w:rPr>
                      <w:t> (</w:t>
                    </w:r>
                    <w:r w:rsidRPr="00685182">
                      <w:rPr>
                        <w:rFonts w:ascii="Lucida Sans Unicode" w:eastAsia="Times New Roman" w:hAnsi="Lucida Sans Unicode" w:cs="Lucida Sans Unicode"/>
                        <w:color w:val="0000FF"/>
                        <w:sz w:val="13"/>
                        <w:szCs w:val="13"/>
                        <w:u w:val="single"/>
                        <w:vertAlign w:val="superscript"/>
                        <w:lang w:eastAsia="es-ES"/>
                      </w:rPr>
                      <w:t>18</w:t>
                    </w:r>
                    <w:r w:rsidRPr="00685182">
                      <w:rPr>
                        <w:rFonts w:ascii="Lucida Sans Unicode" w:eastAsia="Times New Roman" w:hAnsi="Lucida Sans Unicode" w:cs="Lucida Sans Unicode"/>
                        <w:color w:val="0000FF"/>
                        <w:sz w:val="19"/>
                        <w:szCs w:val="19"/>
                        <w:u w:val="single"/>
                        <w:lang w:eastAsia="es-ES"/>
                      </w:rPr>
                      <w:t>)</w:t>
                    </w:r>
                  </w:hyperlink>
                  <w:r w:rsidRPr="00685182">
                    <w:rPr>
                      <w:rFonts w:ascii="Lucida Sans Unicode" w:eastAsia="Times New Roman" w:hAnsi="Lucida Sans Unicode" w:cs="Lucida Sans Unicode"/>
                      <w:color w:val="444444"/>
                      <w:sz w:val="19"/>
                      <w:szCs w:val="19"/>
                      <w:lang w:eastAsia="es-ES"/>
                    </w:rPr>
                    <w:t xml:space="preserve"> </w:t>
                  </w:r>
                </w:p>
              </w:tc>
            </w:tr>
          </w:tbl>
          <w:p w:rsidR="00CB404A" w:rsidRPr="00685182" w:rsidRDefault="00CB404A" w:rsidP="006B1DE5">
            <w:pPr>
              <w:spacing w:after="0" w:line="312" w:lineRule="atLeast"/>
              <w:rPr>
                <w:rFonts w:ascii="Lucida Sans Unicode" w:eastAsia="Times New Roman" w:hAnsi="Lucida Sans Unicode" w:cs="Lucida Sans Unicode"/>
                <w:color w:val="444444"/>
                <w:sz w:val="19"/>
                <w:szCs w:val="19"/>
                <w:lang w:eastAsia="es-ES"/>
              </w:rPr>
            </w:pPr>
          </w:p>
        </w:tc>
      </w:tr>
    </w:tbl>
    <w:p w:rsidR="00CB404A" w:rsidRPr="00685182" w:rsidRDefault="00CB404A" w:rsidP="00CB404A">
      <w:pPr>
        <w:shd w:val="clear" w:color="auto" w:fill="EEEEEE"/>
        <w:spacing w:line="312" w:lineRule="atLeast"/>
        <w:rPr>
          <w:rFonts w:ascii="Times New Roman" w:eastAsia="Times New Roman" w:hAnsi="Times New Roman"/>
          <w:vanish/>
          <w:color w:val="444444"/>
          <w:sz w:val="27"/>
          <w:szCs w:val="27"/>
          <w:lang w:eastAsia="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328"/>
        <w:gridCol w:w="8160"/>
      </w:tblGrid>
      <w:tr w:rsidR="00CB404A" w:rsidRPr="00685182" w:rsidTr="006B1DE5">
        <w:tc>
          <w:tcPr>
            <w:tcW w:w="193" w:type="pct"/>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CB404A" w:rsidRPr="00685182" w:rsidRDefault="00CB404A" w:rsidP="006B1DE5">
            <w:pPr>
              <w:spacing w:before="120" w:after="0" w:line="312" w:lineRule="atLeast"/>
              <w:jc w:val="both"/>
              <w:rPr>
                <w:rFonts w:ascii="Lucida Sans Unicode" w:eastAsia="Times New Roman" w:hAnsi="Lucida Sans Unicode" w:cs="Lucida Sans Unicode"/>
                <w:color w:val="444444"/>
                <w:sz w:val="19"/>
                <w:szCs w:val="19"/>
                <w:lang w:eastAsia="es-ES"/>
              </w:rPr>
            </w:pPr>
            <w:r w:rsidRPr="00685182">
              <w:rPr>
                <w:rFonts w:ascii="Lucida Sans Unicode" w:eastAsia="Times New Roman" w:hAnsi="Lucida Sans Unicode" w:cs="Lucida Sans Unicode"/>
                <w:color w:val="444444"/>
                <w:sz w:val="19"/>
                <w:szCs w:val="19"/>
                <w:lang w:eastAsia="es-ES"/>
              </w:rPr>
              <w:t>—</w:t>
            </w:r>
          </w:p>
        </w:tc>
        <w:tc>
          <w:tcPr>
            <w:tcW w:w="4807" w:type="pct"/>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CB404A" w:rsidRPr="00685182" w:rsidRDefault="00CB404A" w:rsidP="006B1DE5">
            <w:pPr>
              <w:spacing w:before="120" w:after="0" w:line="312" w:lineRule="atLeast"/>
              <w:jc w:val="both"/>
              <w:rPr>
                <w:rFonts w:ascii="Lucida Sans Unicode" w:eastAsia="Times New Roman" w:hAnsi="Lucida Sans Unicode" w:cs="Lucida Sans Unicode"/>
                <w:color w:val="444444"/>
                <w:sz w:val="19"/>
                <w:szCs w:val="19"/>
                <w:lang w:eastAsia="es-ES"/>
              </w:rPr>
            </w:pPr>
            <w:r w:rsidRPr="00685182">
              <w:rPr>
                <w:rFonts w:ascii="Lucida Sans Unicode" w:eastAsia="Times New Roman" w:hAnsi="Lucida Sans Unicode" w:cs="Lucida Sans Unicode"/>
                <w:b/>
                <w:bCs/>
                <w:color w:val="444444"/>
                <w:sz w:val="19"/>
                <w:szCs w:val="19"/>
                <w:lang w:eastAsia="es-ES"/>
              </w:rPr>
              <w:t>Parte V. Reducción del número de candidatos cualificados</w:t>
            </w:r>
            <w:r w:rsidRPr="00685182">
              <w:rPr>
                <w:rFonts w:ascii="Lucida Sans Unicode" w:eastAsia="Times New Roman" w:hAnsi="Lucida Sans Unicode" w:cs="Lucida Sans Unicode"/>
                <w:color w:val="444444"/>
                <w:sz w:val="19"/>
                <w:szCs w:val="19"/>
                <w:lang w:eastAsia="es-ES"/>
              </w:rPr>
              <w:t xml:space="preserve"> </w:t>
            </w:r>
            <w:hyperlink r:id="rId27" w:anchor="ntr19-L_2016003ES.01001801-E0019" w:history="1">
              <w:r w:rsidRPr="00685182">
                <w:rPr>
                  <w:rFonts w:ascii="Lucida Sans Unicode" w:eastAsia="Times New Roman" w:hAnsi="Lucida Sans Unicode" w:cs="Lucida Sans Unicode"/>
                  <w:color w:val="0000FF"/>
                  <w:sz w:val="19"/>
                  <w:szCs w:val="19"/>
                  <w:u w:val="single"/>
                  <w:lang w:eastAsia="es-ES"/>
                </w:rPr>
                <w:t> (</w:t>
              </w:r>
              <w:r w:rsidRPr="00685182">
                <w:rPr>
                  <w:rFonts w:ascii="Lucida Sans Unicode" w:eastAsia="Times New Roman" w:hAnsi="Lucida Sans Unicode" w:cs="Lucida Sans Unicode"/>
                  <w:color w:val="0000FF"/>
                  <w:sz w:val="13"/>
                  <w:szCs w:val="13"/>
                  <w:u w:val="single"/>
                  <w:vertAlign w:val="superscript"/>
                  <w:lang w:eastAsia="es-ES"/>
                </w:rPr>
                <w:t>19</w:t>
              </w:r>
              <w:r w:rsidRPr="00685182">
                <w:rPr>
                  <w:rFonts w:ascii="Lucida Sans Unicode" w:eastAsia="Times New Roman" w:hAnsi="Lucida Sans Unicode" w:cs="Lucida Sans Unicode"/>
                  <w:color w:val="0000FF"/>
                  <w:sz w:val="19"/>
                  <w:szCs w:val="19"/>
                  <w:u w:val="single"/>
                  <w:lang w:eastAsia="es-ES"/>
                </w:rPr>
                <w:t>)</w:t>
              </w:r>
            </w:hyperlink>
            <w:r w:rsidRPr="00685182">
              <w:rPr>
                <w:rFonts w:ascii="Lucida Sans Unicode" w:eastAsia="Times New Roman" w:hAnsi="Lucida Sans Unicode" w:cs="Lucida Sans Unicode"/>
                <w:color w:val="444444"/>
                <w:sz w:val="19"/>
                <w:szCs w:val="19"/>
                <w:lang w:eastAsia="es-ES"/>
              </w:rPr>
              <w:t xml:space="preserve"> </w:t>
            </w:r>
          </w:p>
        </w:tc>
      </w:tr>
    </w:tbl>
    <w:p w:rsidR="00CB404A" w:rsidRPr="00685182" w:rsidRDefault="00CB404A" w:rsidP="00CB404A">
      <w:pPr>
        <w:shd w:val="clear" w:color="auto" w:fill="EEEEEE"/>
        <w:spacing w:line="312" w:lineRule="atLeast"/>
        <w:rPr>
          <w:rFonts w:ascii="Times New Roman" w:eastAsia="Times New Roman" w:hAnsi="Times New Roman"/>
          <w:vanish/>
          <w:color w:val="444444"/>
          <w:sz w:val="27"/>
          <w:szCs w:val="27"/>
          <w:lang w:eastAsia="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328"/>
        <w:gridCol w:w="8160"/>
      </w:tblGrid>
      <w:tr w:rsidR="00CB404A" w:rsidRPr="00685182" w:rsidTr="006B1DE5">
        <w:tc>
          <w:tcPr>
            <w:tcW w:w="193" w:type="pct"/>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CB404A" w:rsidRPr="00685182" w:rsidRDefault="00CB404A" w:rsidP="006B1DE5">
            <w:pPr>
              <w:spacing w:before="120" w:after="0" w:line="312" w:lineRule="atLeast"/>
              <w:jc w:val="both"/>
              <w:rPr>
                <w:rFonts w:ascii="Lucida Sans Unicode" w:eastAsia="Times New Roman" w:hAnsi="Lucida Sans Unicode" w:cs="Lucida Sans Unicode"/>
                <w:color w:val="444444"/>
                <w:sz w:val="19"/>
                <w:szCs w:val="19"/>
                <w:lang w:eastAsia="es-ES"/>
              </w:rPr>
            </w:pPr>
            <w:r w:rsidRPr="00685182">
              <w:rPr>
                <w:rFonts w:ascii="Lucida Sans Unicode" w:eastAsia="Times New Roman" w:hAnsi="Lucida Sans Unicode" w:cs="Lucida Sans Unicode"/>
                <w:color w:val="444444"/>
                <w:sz w:val="19"/>
                <w:szCs w:val="19"/>
                <w:lang w:eastAsia="es-ES"/>
              </w:rPr>
              <w:t>—</w:t>
            </w:r>
          </w:p>
        </w:tc>
        <w:tc>
          <w:tcPr>
            <w:tcW w:w="4807" w:type="pct"/>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CB404A" w:rsidRPr="00685182" w:rsidRDefault="00CB404A" w:rsidP="006B1DE5">
            <w:pPr>
              <w:spacing w:before="120" w:after="0" w:line="312" w:lineRule="atLeast"/>
              <w:jc w:val="both"/>
              <w:rPr>
                <w:rFonts w:ascii="Lucida Sans Unicode" w:eastAsia="Times New Roman" w:hAnsi="Lucida Sans Unicode" w:cs="Lucida Sans Unicode"/>
                <w:color w:val="444444"/>
                <w:sz w:val="19"/>
                <w:szCs w:val="19"/>
                <w:lang w:eastAsia="es-ES"/>
              </w:rPr>
            </w:pPr>
            <w:r w:rsidRPr="00685182">
              <w:rPr>
                <w:rFonts w:ascii="Lucida Sans Unicode" w:eastAsia="Times New Roman" w:hAnsi="Lucida Sans Unicode" w:cs="Lucida Sans Unicode"/>
                <w:b/>
                <w:bCs/>
                <w:color w:val="444444"/>
                <w:sz w:val="19"/>
                <w:szCs w:val="19"/>
                <w:lang w:eastAsia="es-ES"/>
              </w:rPr>
              <w:t>Parte VI. Declaraciones finales</w:t>
            </w:r>
            <w:r w:rsidRPr="00685182">
              <w:rPr>
                <w:rFonts w:ascii="Lucida Sans Unicode" w:eastAsia="Times New Roman" w:hAnsi="Lucida Sans Unicode" w:cs="Lucida Sans Unicode"/>
                <w:color w:val="444444"/>
                <w:sz w:val="19"/>
                <w:szCs w:val="19"/>
                <w:lang w:eastAsia="es-ES"/>
              </w:rPr>
              <w:t xml:space="preserve"> </w:t>
            </w:r>
          </w:p>
        </w:tc>
      </w:tr>
    </w:tbl>
    <w:p w:rsidR="00CB404A" w:rsidRPr="00685182" w:rsidRDefault="00947AA6" w:rsidP="00CB404A">
      <w:pPr>
        <w:shd w:val="clear" w:color="auto" w:fill="EEEEEE"/>
        <w:spacing w:before="240" w:after="60" w:line="312" w:lineRule="atLeast"/>
        <w:rPr>
          <w:rFonts w:ascii="Times New Roman" w:eastAsia="Times New Roman" w:hAnsi="Times New Roman"/>
          <w:color w:val="444444"/>
          <w:sz w:val="27"/>
          <w:szCs w:val="27"/>
          <w:lang w:eastAsia="es-ES"/>
        </w:rPr>
      </w:pPr>
      <w:r>
        <w:rPr>
          <w:rFonts w:ascii="Times New Roman" w:eastAsia="Times New Roman" w:hAnsi="Times New Roman"/>
          <w:color w:val="444444"/>
          <w:sz w:val="27"/>
          <w:szCs w:val="27"/>
          <w:lang w:eastAsia="es-ES"/>
        </w:rPr>
        <w:pict>
          <v:rect id="_x0000_i1025" style="width:85.05pt;height:.75pt" o:hrpct="200" o:hrstd="t" o:hrnoshade="t" o:hr="t" fillcolor="black" stroked="f"/>
        </w:pict>
      </w:r>
    </w:p>
    <w:p w:rsidR="00CB404A" w:rsidRPr="00685182" w:rsidRDefault="00947AA6" w:rsidP="00CB404A">
      <w:pPr>
        <w:shd w:val="clear" w:color="auto" w:fill="EEEEEE"/>
        <w:spacing w:before="60" w:after="60" w:line="312" w:lineRule="atLeast"/>
        <w:jc w:val="both"/>
        <w:rPr>
          <w:rFonts w:ascii="Times New Roman" w:eastAsia="Times New Roman" w:hAnsi="Times New Roman"/>
          <w:color w:val="444444"/>
          <w:lang w:eastAsia="es-ES"/>
        </w:rPr>
      </w:pPr>
      <w:hyperlink r:id="rId28" w:anchor="ntc1-L_2016003ES.01001801-E0001" w:history="1">
        <w:r w:rsidR="00CB404A" w:rsidRPr="00685182">
          <w:rPr>
            <w:rFonts w:ascii="Times New Roman" w:eastAsia="Times New Roman" w:hAnsi="Times New Roman"/>
            <w:color w:val="0000FF"/>
            <w:u w:val="single"/>
            <w:lang w:eastAsia="es-ES"/>
          </w:rPr>
          <w:t>(</w:t>
        </w:r>
        <w:r w:rsidR="00CB404A" w:rsidRPr="00685182">
          <w:rPr>
            <w:rFonts w:ascii="Times New Roman" w:eastAsia="Times New Roman" w:hAnsi="Times New Roman"/>
            <w:color w:val="0000FF"/>
            <w:sz w:val="15"/>
            <w:szCs w:val="15"/>
            <w:u w:val="single"/>
            <w:vertAlign w:val="superscript"/>
            <w:lang w:eastAsia="es-ES"/>
          </w:rPr>
          <w:t>1</w:t>
        </w:r>
        <w:r w:rsidR="00CB404A" w:rsidRPr="00685182">
          <w:rPr>
            <w:rFonts w:ascii="Times New Roman" w:eastAsia="Times New Roman" w:hAnsi="Times New Roman"/>
            <w:color w:val="0000FF"/>
            <w:u w:val="single"/>
            <w:lang w:eastAsia="es-ES"/>
          </w:rPr>
          <w:t>)</w:t>
        </w:r>
      </w:hyperlink>
      <w:r w:rsidR="00CB404A" w:rsidRPr="00685182">
        <w:rPr>
          <w:rFonts w:ascii="Times New Roman" w:eastAsia="Times New Roman" w:hAnsi="Times New Roman"/>
          <w:color w:val="444444"/>
          <w:lang w:eastAsia="es-ES"/>
        </w:rPr>
        <w:t>  Por ejemplo, señalando que los operadores económicos que hayan sido condenados en virtud de los artículos x, y y z del código penal nacional deberán indicarlo al cumplimentar el apartado relativo a las condenas por participación en una organización delictiva o por blanqueo de capitales, etc.</w:t>
      </w:r>
    </w:p>
    <w:p w:rsidR="00CB404A" w:rsidRPr="00685182" w:rsidRDefault="00947AA6" w:rsidP="00CB404A">
      <w:pPr>
        <w:shd w:val="clear" w:color="auto" w:fill="EEEEEE"/>
        <w:spacing w:before="60" w:after="60" w:line="312" w:lineRule="atLeast"/>
        <w:jc w:val="both"/>
        <w:rPr>
          <w:rFonts w:ascii="Times New Roman" w:eastAsia="Times New Roman" w:hAnsi="Times New Roman"/>
          <w:color w:val="444444"/>
          <w:lang w:eastAsia="es-ES"/>
        </w:rPr>
      </w:pPr>
      <w:hyperlink r:id="rId29" w:anchor="ntc2-L_2016003ES.01001801-E0002" w:history="1">
        <w:r w:rsidR="00CB404A" w:rsidRPr="00685182">
          <w:rPr>
            <w:rFonts w:ascii="Times New Roman" w:eastAsia="Times New Roman" w:hAnsi="Times New Roman"/>
            <w:color w:val="0000FF"/>
            <w:u w:val="single"/>
            <w:lang w:eastAsia="es-ES"/>
          </w:rPr>
          <w:t>(</w:t>
        </w:r>
        <w:r w:rsidR="00CB404A" w:rsidRPr="00685182">
          <w:rPr>
            <w:rFonts w:ascii="Times New Roman" w:eastAsia="Times New Roman" w:hAnsi="Times New Roman"/>
            <w:color w:val="0000FF"/>
            <w:sz w:val="15"/>
            <w:szCs w:val="15"/>
            <w:u w:val="single"/>
            <w:vertAlign w:val="superscript"/>
            <w:lang w:eastAsia="es-ES"/>
          </w:rPr>
          <w:t>2</w:t>
        </w:r>
        <w:r w:rsidR="00CB404A" w:rsidRPr="00685182">
          <w:rPr>
            <w:rFonts w:ascii="Times New Roman" w:eastAsia="Times New Roman" w:hAnsi="Times New Roman"/>
            <w:color w:val="0000FF"/>
            <w:u w:val="single"/>
            <w:lang w:eastAsia="es-ES"/>
          </w:rPr>
          <w:t>)</w:t>
        </w:r>
      </w:hyperlink>
      <w:r w:rsidR="00CB404A" w:rsidRPr="00685182">
        <w:rPr>
          <w:rFonts w:ascii="Times New Roman" w:eastAsia="Times New Roman" w:hAnsi="Times New Roman"/>
          <w:color w:val="444444"/>
          <w:lang w:eastAsia="es-ES"/>
        </w:rPr>
        <w:t>  Información relativa a los motivos de exclusión.</w:t>
      </w:r>
    </w:p>
    <w:p w:rsidR="00CB404A" w:rsidRPr="00685182" w:rsidRDefault="00947AA6" w:rsidP="00CB404A">
      <w:pPr>
        <w:shd w:val="clear" w:color="auto" w:fill="EEEEEE"/>
        <w:spacing w:before="60" w:after="60" w:line="312" w:lineRule="atLeast"/>
        <w:jc w:val="both"/>
        <w:rPr>
          <w:rFonts w:ascii="Times New Roman" w:eastAsia="Times New Roman" w:hAnsi="Times New Roman"/>
          <w:color w:val="444444"/>
          <w:lang w:eastAsia="es-ES"/>
        </w:rPr>
      </w:pPr>
      <w:hyperlink r:id="rId30" w:anchor="ntc3-L_2016003ES.01001801-E0003" w:history="1">
        <w:r w:rsidR="00CB404A" w:rsidRPr="00685182">
          <w:rPr>
            <w:rFonts w:ascii="Times New Roman" w:eastAsia="Times New Roman" w:hAnsi="Times New Roman"/>
            <w:color w:val="0000FF"/>
            <w:u w:val="single"/>
            <w:lang w:eastAsia="es-ES"/>
          </w:rPr>
          <w:t>(</w:t>
        </w:r>
        <w:r w:rsidR="00CB404A" w:rsidRPr="00685182">
          <w:rPr>
            <w:rFonts w:ascii="Times New Roman" w:eastAsia="Times New Roman" w:hAnsi="Times New Roman"/>
            <w:color w:val="0000FF"/>
            <w:sz w:val="15"/>
            <w:szCs w:val="15"/>
            <w:u w:val="single"/>
            <w:vertAlign w:val="superscript"/>
            <w:lang w:eastAsia="es-ES"/>
          </w:rPr>
          <w:t>3</w:t>
        </w:r>
        <w:r w:rsidR="00CB404A" w:rsidRPr="00685182">
          <w:rPr>
            <w:rFonts w:ascii="Times New Roman" w:eastAsia="Times New Roman" w:hAnsi="Times New Roman"/>
            <w:color w:val="0000FF"/>
            <w:u w:val="single"/>
            <w:lang w:eastAsia="es-ES"/>
          </w:rPr>
          <w:t>)</w:t>
        </w:r>
      </w:hyperlink>
      <w:r w:rsidR="00CB404A" w:rsidRPr="00685182">
        <w:rPr>
          <w:rFonts w:ascii="Times New Roman" w:eastAsia="Times New Roman" w:hAnsi="Times New Roman"/>
          <w:color w:val="444444"/>
          <w:lang w:eastAsia="es-ES"/>
        </w:rPr>
        <w:t>  Véase el artículo 71, apartado 5, párrafo tercero, de la Directiva 2014/24/UE y el artículo 88, apartado 5, párrafo tercero, de la Directiva 2014/25/UE.</w:t>
      </w:r>
    </w:p>
    <w:p w:rsidR="00CB404A" w:rsidRPr="00685182" w:rsidRDefault="00947AA6" w:rsidP="00CB404A">
      <w:pPr>
        <w:shd w:val="clear" w:color="auto" w:fill="EEEEEE"/>
        <w:spacing w:before="60" w:after="60" w:line="312" w:lineRule="atLeast"/>
        <w:jc w:val="both"/>
        <w:rPr>
          <w:rFonts w:ascii="Times New Roman" w:eastAsia="Times New Roman" w:hAnsi="Times New Roman"/>
          <w:color w:val="444444"/>
          <w:lang w:eastAsia="es-ES"/>
        </w:rPr>
      </w:pPr>
      <w:hyperlink r:id="rId31" w:anchor="ntc4-L_2016003ES.01001801-E0004" w:history="1">
        <w:r w:rsidR="00CB404A" w:rsidRPr="00685182">
          <w:rPr>
            <w:rFonts w:ascii="Times New Roman" w:eastAsia="Times New Roman" w:hAnsi="Times New Roman"/>
            <w:color w:val="0000FF"/>
            <w:u w:val="single"/>
            <w:lang w:eastAsia="es-ES"/>
          </w:rPr>
          <w:t>(</w:t>
        </w:r>
        <w:r w:rsidR="00CB404A" w:rsidRPr="00685182">
          <w:rPr>
            <w:rFonts w:ascii="Times New Roman" w:eastAsia="Times New Roman" w:hAnsi="Times New Roman"/>
            <w:color w:val="0000FF"/>
            <w:sz w:val="15"/>
            <w:szCs w:val="15"/>
            <w:u w:val="single"/>
            <w:vertAlign w:val="superscript"/>
            <w:lang w:eastAsia="es-ES"/>
          </w:rPr>
          <w:t>4</w:t>
        </w:r>
        <w:r w:rsidR="00CB404A" w:rsidRPr="00685182">
          <w:rPr>
            <w:rFonts w:ascii="Times New Roman" w:eastAsia="Times New Roman" w:hAnsi="Times New Roman"/>
            <w:color w:val="0000FF"/>
            <w:u w:val="single"/>
            <w:lang w:eastAsia="es-ES"/>
          </w:rPr>
          <w:t>)</w:t>
        </w:r>
      </w:hyperlink>
      <w:r w:rsidR="00CB404A" w:rsidRPr="00685182">
        <w:rPr>
          <w:rFonts w:ascii="Times New Roman" w:eastAsia="Times New Roman" w:hAnsi="Times New Roman"/>
          <w:color w:val="444444"/>
          <w:lang w:eastAsia="es-ES"/>
        </w:rPr>
        <w:t>  Este enlace permite acceder a la versión preliminar en fase de desarrollo. Cuando esté disponible, se insertará u ofrecerá de otro modo el enlace a la versión que se encuentre plenamente en producción.</w:t>
      </w:r>
    </w:p>
    <w:p w:rsidR="00CB404A" w:rsidRPr="00685182" w:rsidRDefault="00947AA6" w:rsidP="00CB404A">
      <w:pPr>
        <w:shd w:val="clear" w:color="auto" w:fill="EEEEEE"/>
        <w:spacing w:before="60" w:after="60" w:line="312" w:lineRule="atLeast"/>
        <w:jc w:val="both"/>
        <w:rPr>
          <w:rFonts w:ascii="Times New Roman" w:eastAsia="Times New Roman" w:hAnsi="Times New Roman"/>
          <w:color w:val="444444"/>
          <w:lang w:eastAsia="es-ES"/>
        </w:rPr>
      </w:pPr>
      <w:hyperlink r:id="rId32" w:anchor="ntc5-L_2016003ES.01001801-E0005" w:history="1">
        <w:r w:rsidR="00CB404A" w:rsidRPr="00685182">
          <w:rPr>
            <w:rFonts w:ascii="Times New Roman" w:eastAsia="Times New Roman" w:hAnsi="Times New Roman"/>
            <w:color w:val="0000FF"/>
            <w:u w:val="single"/>
            <w:lang w:eastAsia="es-ES"/>
          </w:rPr>
          <w:t>(</w:t>
        </w:r>
        <w:r w:rsidR="00CB404A" w:rsidRPr="00685182">
          <w:rPr>
            <w:rFonts w:ascii="Times New Roman" w:eastAsia="Times New Roman" w:hAnsi="Times New Roman"/>
            <w:color w:val="0000FF"/>
            <w:sz w:val="15"/>
            <w:szCs w:val="15"/>
            <w:u w:val="single"/>
            <w:vertAlign w:val="superscript"/>
            <w:lang w:eastAsia="es-ES"/>
          </w:rPr>
          <w:t>5</w:t>
        </w:r>
        <w:r w:rsidR="00CB404A" w:rsidRPr="00685182">
          <w:rPr>
            <w:rFonts w:ascii="Times New Roman" w:eastAsia="Times New Roman" w:hAnsi="Times New Roman"/>
            <w:color w:val="0000FF"/>
            <w:u w:val="single"/>
            <w:lang w:eastAsia="es-ES"/>
          </w:rPr>
          <w:t>)</w:t>
        </w:r>
      </w:hyperlink>
      <w:r w:rsidR="00CB404A" w:rsidRPr="00685182">
        <w:rPr>
          <w:rFonts w:ascii="Times New Roman" w:eastAsia="Times New Roman" w:hAnsi="Times New Roman"/>
          <w:color w:val="444444"/>
          <w:lang w:eastAsia="es-ES"/>
        </w:rPr>
        <w:t xml:space="preserve">  La situación es más compleja en lo que respecta a los </w:t>
      </w:r>
      <w:r w:rsidR="00CB404A" w:rsidRPr="00685182">
        <w:rPr>
          <w:rFonts w:ascii="Times New Roman" w:eastAsia="Times New Roman" w:hAnsi="Times New Roman"/>
          <w:b/>
          <w:bCs/>
          <w:color w:val="444444"/>
          <w:lang w:eastAsia="es-ES"/>
        </w:rPr>
        <w:t>procedimientos negociados sin publicación previa</w:t>
      </w:r>
      <w:r w:rsidR="00CB404A" w:rsidRPr="00685182">
        <w:rPr>
          <w:rFonts w:ascii="Times New Roman" w:eastAsia="Times New Roman" w:hAnsi="Times New Roman"/>
          <w:color w:val="444444"/>
          <w:lang w:eastAsia="es-ES"/>
        </w:rPr>
        <w:t>, previstos en el artículo 32 de la Directiva 2014/24/UE y el artículo 50 de la Directiva 2014/25/UE, ya que estas disposiciones se aplican a realidades muy diferentes.</w:t>
      </w:r>
    </w:p>
    <w:p w:rsidR="00CB404A" w:rsidRPr="00685182" w:rsidRDefault="00CB404A" w:rsidP="00CB404A">
      <w:pPr>
        <w:shd w:val="clear" w:color="auto" w:fill="EEEEEE"/>
        <w:spacing w:before="60" w:after="60" w:line="312" w:lineRule="atLeast"/>
        <w:jc w:val="both"/>
        <w:rPr>
          <w:rFonts w:ascii="Times New Roman" w:eastAsia="Times New Roman" w:hAnsi="Times New Roman"/>
          <w:color w:val="444444"/>
          <w:lang w:eastAsia="es-ES"/>
        </w:rPr>
      </w:pPr>
      <w:r w:rsidRPr="00685182">
        <w:rPr>
          <w:rFonts w:ascii="Times New Roman" w:eastAsia="Times New Roman" w:hAnsi="Times New Roman"/>
          <w:color w:val="444444"/>
          <w:lang w:eastAsia="es-ES"/>
        </w:rPr>
        <w:t>Solicitar un DEUC constituiría una carga administrativa innecesaria o sería, en cualquier caso, inadecuado: 1) cuando hay un solo participante posible predeterminado (artículo 32, apartado 2, letra b), apartado 3, letras b) y d), y apartado 5, de la Directiva 2014/24/UE y artículo 50, letras c), e), f) e i) de la Directiva 2014/25/UE); y 2) por la urgencia del caso (artículo 32, apartado 2, letra c), de la Directiva 2014/24/UE y artículo 50, letras d) y h), de la Directiva 2014/25/UE) o en razón de las características particulares de la operación cuando se trate de suministros cotizados y comprados en una bolsa de materias primas (artículo 32, apartado 3, letra c), de la Directiva 2014/24/UE y artículo 50, letra g), de la Directiva 2014/25/UE).</w:t>
      </w:r>
    </w:p>
    <w:p w:rsidR="00CB404A" w:rsidRPr="00685182" w:rsidRDefault="00CB404A" w:rsidP="00CB404A">
      <w:pPr>
        <w:shd w:val="clear" w:color="auto" w:fill="EEEEEE"/>
        <w:spacing w:before="60" w:after="60" w:line="312" w:lineRule="atLeast"/>
        <w:jc w:val="both"/>
        <w:rPr>
          <w:rFonts w:ascii="Times New Roman" w:eastAsia="Times New Roman" w:hAnsi="Times New Roman"/>
          <w:color w:val="444444"/>
          <w:lang w:eastAsia="es-ES"/>
        </w:rPr>
      </w:pPr>
      <w:r w:rsidRPr="00685182">
        <w:rPr>
          <w:rFonts w:ascii="Times New Roman" w:eastAsia="Times New Roman" w:hAnsi="Times New Roman"/>
          <w:color w:val="444444"/>
          <w:lang w:eastAsia="es-ES"/>
        </w:rPr>
        <w:t>Por otra parte, el DEUC desempeñaría plenamente su papel y debería exigirse en los demás casos, que se caracterizan por la posible participación de varios licitadores y la ausencia de urgencia o características especiales relacionadas con la operación; este sería el caso en las circunstancias contempladas en el artículo 32, apartado 2, letra a), apartado 3, letra a), y apartado 4, de la Directiva 2014/24/UE y en el artículo 50, letras a), b) y j), de la Directiva 2014/25/UE.</w:t>
      </w:r>
    </w:p>
    <w:p w:rsidR="00CB404A" w:rsidRPr="00685182" w:rsidRDefault="00947AA6" w:rsidP="00CB404A">
      <w:pPr>
        <w:shd w:val="clear" w:color="auto" w:fill="EEEEEE"/>
        <w:spacing w:before="60" w:after="60" w:line="312" w:lineRule="atLeast"/>
        <w:jc w:val="both"/>
        <w:rPr>
          <w:rFonts w:ascii="Times New Roman" w:eastAsia="Times New Roman" w:hAnsi="Times New Roman"/>
          <w:color w:val="444444"/>
          <w:lang w:eastAsia="es-ES"/>
        </w:rPr>
      </w:pPr>
      <w:hyperlink r:id="rId33" w:anchor="ntc6-L_2016003ES.01001801-E0006" w:history="1">
        <w:r w:rsidR="00CB404A" w:rsidRPr="00685182">
          <w:rPr>
            <w:rFonts w:ascii="Times New Roman" w:eastAsia="Times New Roman" w:hAnsi="Times New Roman"/>
            <w:color w:val="0000FF"/>
            <w:u w:val="single"/>
            <w:lang w:eastAsia="es-ES"/>
          </w:rPr>
          <w:t>(</w:t>
        </w:r>
        <w:r w:rsidR="00CB404A" w:rsidRPr="00685182">
          <w:rPr>
            <w:rFonts w:ascii="Times New Roman" w:eastAsia="Times New Roman" w:hAnsi="Times New Roman"/>
            <w:color w:val="0000FF"/>
            <w:sz w:val="15"/>
            <w:szCs w:val="15"/>
            <w:u w:val="single"/>
            <w:vertAlign w:val="superscript"/>
            <w:lang w:eastAsia="es-ES"/>
          </w:rPr>
          <w:t>6</w:t>
        </w:r>
        <w:r w:rsidR="00CB404A" w:rsidRPr="00685182">
          <w:rPr>
            <w:rFonts w:ascii="Times New Roman" w:eastAsia="Times New Roman" w:hAnsi="Times New Roman"/>
            <w:color w:val="0000FF"/>
            <w:u w:val="single"/>
            <w:lang w:eastAsia="es-ES"/>
          </w:rPr>
          <w:t>)</w:t>
        </w:r>
      </w:hyperlink>
      <w:r w:rsidR="00CB404A" w:rsidRPr="00685182">
        <w:rPr>
          <w:rFonts w:ascii="Times New Roman" w:eastAsia="Times New Roman" w:hAnsi="Times New Roman"/>
          <w:color w:val="444444"/>
          <w:lang w:eastAsia="es-ES"/>
        </w:rPr>
        <w:t>  Artículos 74 a 77 de la Directiva 2014/24/UE y artículos 91 a 94 de la Directiva 2014/25/UE.</w:t>
      </w:r>
    </w:p>
    <w:p w:rsidR="00CB404A" w:rsidRPr="00685182" w:rsidRDefault="00947AA6" w:rsidP="00CB404A">
      <w:pPr>
        <w:shd w:val="clear" w:color="auto" w:fill="EEEEEE"/>
        <w:spacing w:before="60" w:after="60" w:line="312" w:lineRule="atLeast"/>
        <w:jc w:val="both"/>
        <w:rPr>
          <w:rFonts w:ascii="Times New Roman" w:eastAsia="Times New Roman" w:hAnsi="Times New Roman"/>
          <w:color w:val="444444"/>
          <w:lang w:eastAsia="es-ES"/>
        </w:rPr>
      </w:pPr>
      <w:hyperlink r:id="rId34" w:anchor="ntc7-L_2016003ES.01001801-E0007" w:history="1">
        <w:r w:rsidR="00CB404A" w:rsidRPr="00685182">
          <w:rPr>
            <w:rFonts w:ascii="Times New Roman" w:eastAsia="Times New Roman" w:hAnsi="Times New Roman"/>
            <w:color w:val="0000FF"/>
            <w:u w:val="single"/>
            <w:lang w:eastAsia="es-ES"/>
          </w:rPr>
          <w:t>(</w:t>
        </w:r>
        <w:r w:rsidR="00CB404A" w:rsidRPr="00685182">
          <w:rPr>
            <w:rFonts w:ascii="Times New Roman" w:eastAsia="Times New Roman" w:hAnsi="Times New Roman"/>
            <w:color w:val="0000FF"/>
            <w:sz w:val="15"/>
            <w:szCs w:val="15"/>
            <w:u w:val="single"/>
            <w:vertAlign w:val="superscript"/>
            <w:lang w:eastAsia="es-ES"/>
          </w:rPr>
          <w:t>7</w:t>
        </w:r>
        <w:r w:rsidR="00CB404A" w:rsidRPr="00685182">
          <w:rPr>
            <w:rFonts w:ascii="Times New Roman" w:eastAsia="Times New Roman" w:hAnsi="Times New Roman"/>
            <w:color w:val="0000FF"/>
            <w:u w:val="single"/>
            <w:lang w:eastAsia="es-ES"/>
          </w:rPr>
          <w:t>)</w:t>
        </w:r>
      </w:hyperlink>
      <w:r w:rsidR="00CB404A" w:rsidRPr="00685182">
        <w:rPr>
          <w:rFonts w:ascii="Times New Roman" w:eastAsia="Times New Roman" w:hAnsi="Times New Roman"/>
          <w:color w:val="444444"/>
          <w:lang w:eastAsia="es-ES"/>
        </w:rPr>
        <w:t>  Directiva 2014/23/UE del Parlamento Europeo y del Consejo, de 26 de febrero de 2014, relativa a la adjudicación de contratos de concesión (</w:t>
      </w:r>
      <w:hyperlink r:id="rId35" w:history="1">
        <w:r w:rsidR="00CB404A" w:rsidRPr="00685182">
          <w:rPr>
            <w:rFonts w:ascii="Times New Roman" w:eastAsia="Times New Roman" w:hAnsi="Times New Roman"/>
            <w:color w:val="0000FF"/>
            <w:u w:val="single"/>
            <w:lang w:eastAsia="es-ES"/>
          </w:rPr>
          <w:t>DO L 94 de 28.3.2014, p. 1</w:t>
        </w:r>
      </w:hyperlink>
      <w:r w:rsidR="00CB404A" w:rsidRPr="00685182">
        <w:rPr>
          <w:rFonts w:ascii="Times New Roman" w:eastAsia="Times New Roman" w:hAnsi="Times New Roman"/>
          <w:color w:val="444444"/>
          <w:lang w:eastAsia="es-ES"/>
        </w:rPr>
        <w:t>).</w:t>
      </w:r>
    </w:p>
    <w:p w:rsidR="00CB404A" w:rsidRPr="00685182" w:rsidRDefault="00947AA6" w:rsidP="00CB404A">
      <w:pPr>
        <w:shd w:val="clear" w:color="auto" w:fill="EEEEEE"/>
        <w:spacing w:before="60" w:after="60" w:line="312" w:lineRule="atLeast"/>
        <w:jc w:val="both"/>
        <w:rPr>
          <w:rFonts w:ascii="Times New Roman" w:eastAsia="Times New Roman" w:hAnsi="Times New Roman"/>
          <w:color w:val="444444"/>
          <w:lang w:eastAsia="es-ES"/>
        </w:rPr>
      </w:pPr>
      <w:hyperlink r:id="rId36" w:anchor="ntc8-L_2016003ES.01001801-E0008" w:history="1">
        <w:r w:rsidR="00CB404A" w:rsidRPr="00685182">
          <w:rPr>
            <w:rFonts w:ascii="Times New Roman" w:eastAsia="Times New Roman" w:hAnsi="Times New Roman"/>
            <w:color w:val="0000FF"/>
            <w:u w:val="single"/>
            <w:lang w:eastAsia="es-ES"/>
          </w:rPr>
          <w:t>(</w:t>
        </w:r>
        <w:r w:rsidR="00CB404A" w:rsidRPr="00685182">
          <w:rPr>
            <w:rFonts w:ascii="Times New Roman" w:eastAsia="Times New Roman" w:hAnsi="Times New Roman"/>
            <w:color w:val="0000FF"/>
            <w:sz w:val="15"/>
            <w:szCs w:val="15"/>
            <w:u w:val="single"/>
            <w:vertAlign w:val="superscript"/>
            <w:lang w:eastAsia="es-ES"/>
          </w:rPr>
          <w:t>8</w:t>
        </w:r>
        <w:r w:rsidR="00CB404A" w:rsidRPr="00685182">
          <w:rPr>
            <w:rFonts w:ascii="Times New Roman" w:eastAsia="Times New Roman" w:hAnsi="Times New Roman"/>
            <w:color w:val="0000FF"/>
            <w:u w:val="single"/>
            <w:lang w:eastAsia="es-ES"/>
          </w:rPr>
          <w:t>)</w:t>
        </w:r>
      </w:hyperlink>
      <w:r w:rsidR="00CB404A" w:rsidRPr="00685182">
        <w:rPr>
          <w:rFonts w:ascii="Times New Roman" w:eastAsia="Times New Roman" w:hAnsi="Times New Roman"/>
          <w:color w:val="444444"/>
          <w:lang w:eastAsia="es-ES"/>
        </w:rPr>
        <w:t>  Véase el artículo 90, apartado 3, de la Directiva 2014/24/UE.</w:t>
      </w:r>
    </w:p>
    <w:p w:rsidR="00CB404A" w:rsidRPr="00685182" w:rsidRDefault="00947AA6" w:rsidP="00CB404A">
      <w:pPr>
        <w:shd w:val="clear" w:color="auto" w:fill="EEEEEE"/>
        <w:spacing w:before="60" w:after="60" w:line="312" w:lineRule="atLeast"/>
        <w:jc w:val="both"/>
        <w:rPr>
          <w:rFonts w:ascii="Times New Roman" w:eastAsia="Times New Roman" w:hAnsi="Times New Roman"/>
          <w:color w:val="444444"/>
          <w:lang w:eastAsia="es-ES"/>
        </w:rPr>
      </w:pPr>
      <w:hyperlink r:id="rId37" w:anchor="ntc9-L_2016003ES.01001801-E0009" w:history="1">
        <w:r w:rsidR="00CB404A" w:rsidRPr="00685182">
          <w:rPr>
            <w:rFonts w:ascii="Times New Roman" w:eastAsia="Times New Roman" w:hAnsi="Times New Roman"/>
            <w:color w:val="0000FF"/>
            <w:u w:val="single"/>
            <w:lang w:eastAsia="es-ES"/>
          </w:rPr>
          <w:t>(</w:t>
        </w:r>
        <w:r w:rsidR="00CB404A" w:rsidRPr="00685182">
          <w:rPr>
            <w:rFonts w:ascii="Times New Roman" w:eastAsia="Times New Roman" w:hAnsi="Times New Roman"/>
            <w:color w:val="0000FF"/>
            <w:sz w:val="15"/>
            <w:szCs w:val="15"/>
            <w:u w:val="single"/>
            <w:vertAlign w:val="superscript"/>
            <w:lang w:eastAsia="es-ES"/>
          </w:rPr>
          <w:t>9</w:t>
        </w:r>
        <w:r w:rsidR="00CB404A" w:rsidRPr="00685182">
          <w:rPr>
            <w:rFonts w:ascii="Times New Roman" w:eastAsia="Times New Roman" w:hAnsi="Times New Roman"/>
            <w:color w:val="0000FF"/>
            <w:u w:val="single"/>
            <w:lang w:eastAsia="es-ES"/>
          </w:rPr>
          <w:t>)</w:t>
        </w:r>
      </w:hyperlink>
      <w:r w:rsidR="00CB404A" w:rsidRPr="00685182">
        <w:rPr>
          <w:rFonts w:ascii="Times New Roman" w:eastAsia="Times New Roman" w:hAnsi="Times New Roman"/>
          <w:color w:val="444444"/>
          <w:lang w:eastAsia="es-ES"/>
        </w:rPr>
        <w:t>  Asimismo, podrán generar su DEUC como fichero PDF y enviarlo electrónicamente adjuntándolo como anexo. Para poder reutilizar posteriormente la información, conviene que los operadores económicos salven el DEUC cumplimentado en un formato electrónico adecuado (por ejemplo,.xml).</w:t>
      </w:r>
    </w:p>
    <w:p w:rsidR="00CB404A" w:rsidRPr="00685182" w:rsidRDefault="00947AA6" w:rsidP="00CB404A">
      <w:pPr>
        <w:shd w:val="clear" w:color="auto" w:fill="EEEEEE"/>
        <w:spacing w:before="60" w:after="60" w:line="312" w:lineRule="atLeast"/>
        <w:jc w:val="both"/>
        <w:rPr>
          <w:rFonts w:ascii="Times New Roman" w:eastAsia="Times New Roman" w:hAnsi="Times New Roman"/>
          <w:color w:val="444444"/>
          <w:lang w:eastAsia="es-ES"/>
        </w:rPr>
      </w:pPr>
      <w:hyperlink r:id="rId38" w:anchor="ntc10-L_2016003ES.01001801-E0010" w:history="1">
        <w:r w:rsidR="00CB404A" w:rsidRPr="00685182">
          <w:rPr>
            <w:rFonts w:ascii="Times New Roman" w:eastAsia="Times New Roman" w:hAnsi="Times New Roman"/>
            <w:color w:val="0000FF"/>
            <w:u w:val="single"/>
            <w:lang w:eastAsia="es-ES"/>
          </w:rPr>
          <w:t>(</w:t>
        </w:r>
        <w:r w:rsidR="00CB404A" w:rsidRPr="00685182">
          <w:rPr>
            <w:rFonts w:ascii="Times New Roman" w:eastAsia="Times New Roman" w:hAnsi="Times New Roman"/>
            <w:color w:val="0000FF"/>
            <w:sz w:val="15"/>
            <w:szCs w:val="15"/>
            <w:u w:val="single"/>
            <w:vertAlign w:val="superscript"/>
            <w:lang w:eastAsia="es-ES"/>
          </w:rPr>
          <w:t>10</w:t>
        </w:r>
        <w:r w:rsidR="00CB404A" w:rsidRPr="00685182">
          <w:rPr>
            <w:rFonts w:ascii="Times New Roman" w:eastAsia="Times New Roman" w:hAnsi="Times New Roman"/>
            <w:color w:val="0000FF"/>
            <w:u w:val="single"/>
            <w:lang w:eastAsia="es-ES"/>
          </w:rPr>
          <w:t>)</w:t>
        </w:r>
      </w:hyperlink>
      <w:r w:rsidR="00CB404A" w:rsidRPr="00685182">
        <w:rPr>
          <w:rFonts w:ascii="Times New Roman" w:eastAsia="Times New Roman" w:hAnsi="Times New Roman"/>
          <w:color w:val="444444"/>
          <w:lang w:eastAsia="es-ES"/>
        </w:rPr>
        <w:t>  Puede ser el caso, por ejemplo, del volumen de negocios mínimo exigido, que, en esos casos, debe determinarse en función del valor máximo estimado de los lotes individuales.</w:t>
      </w:r>
    </w:p>
    <w:p w:rsidR="00CB404A" w:rsidRPr="00685182" w:rsidRDefault="00947AA6" w:rsidP="00CB404A">
      <w:pPr>
        <w:shd w:val="clear" w:color="auto" w:fill="EEEEEE"/>
        <w:spacing w:before="60" w:after="60" w:line="312" w:lineRule="atLeast"/>
        <w:jc w:val="both"/>
        <w:rPr>
          <w:rFonts w:ascii="Times New Roman" w:eastAsia="Times New Roman" w:hAnsi="Times New Roman"/>
          <w:color w:val="444444"/>
          <w:lang w:eastAsia="es-ES"/>
        </w:rPr>
      </w:pPr>
      <w:hyperlink r:id="rId39" w:anchor="ntc11-L_2016003ES.01001801-E0011" w:history="1">
        <w:r w:rsidR="00CB404A" w:rsidRPr="00685182">
          <w:rPr>
            <w:rFonts w:ascii="Times New Roman" w:eastAsia="Times New Roman" w:hAnsi="Times New Roman"/>
            <w:color w:val="0000FF"/>
            <w:u w:val="single"/>
            <w:lang w:eastAsia="es-ES"/>
          </w:rPr>
          <w:t>(</w:t>
        </w:r>
        <w:r w:rsidR="00CB404A" w:rsidRPr="00685182">
          <w:rPr>
            <w:rFonts w:ascii="Times New Roman" w:eastAsia="Times New Roman" w:hAnsi="Times New Roman"/>
            <w:color w:val="0000FF"/>
            <w:sz w:val="15"/>
            <w:szCs w:val="15"/>
            <w:u w:val="single"/>
            <w:vertAlign w:val="superscript"/>
            <w:lang w:eastAsia="es-ES"/>
          </w:rPr>
          <w:t>11</w:t>
        </w:r>
        <w:r w:rsidR="00CB404A" w:rsidRPr="00685182">
          <w:rPr>
            <w:rFonts w:ascii="Times New Roman" w:eastAsia="Times New Roman" w:hAnsi="Times New Roman"/>
            <w:color w:val="0000FF"/>
            <w:u w:val="single"/>
            <w:lang w:eastAsia="es-ES"/>
          </w:rPr>
          <w:t>)</w:t>
        </w:r>
      </w:hyperlink>
      <w:r w:rsidR="00CB404A" w:rsidRPr="00685182">
        <w:rPr>
          <w:rFonts w:ascii="Times New Roman" w:eastAsia="Times New Roman" w:hAnsi="Times New Roman"/>
          <w:color w:val="444444"/>
          <w:lang w:eastAsia="es-ES"/>
        </w:rPr>
        <w:t>  Salvo que los poderes o entidades adjudicadores hayan indicado que, de entrada, bastará con información general («sí»/«no») sobre el cumplimiento de los requisitos. Esta opción se explica con mayor detalle más adelante.</w:t>
      </w:r>
    </w:p>
    <w:p w:rsidR="00CB404A" w:rsidRPr="00685182" w:rsidRDefault="00947AA6" w:rsidP="00CB404A">
      <w:pPr>
        <w:shd w:val="clear" w:color="auto" w:fill="EEEEEE"/>
        <w:spacing w:before="60" w:after="60" w:line="312" w:lineRule="atLeast"/>
        <w:jc w:val="both"/>
        <w:rPr>
          <w:rFonts w:ascii="Times New Roman" w:eastAsia="Times New Roman" w:hAnsi="Times New Roman"/>
          <w:color w:val="444444"/>
          <w:lang w:eastAsia="es-ES"/>
        </w:rPr>
      </w:pPr>
      <w:hyperlink r:id="rId40" w:anchor="ntc12-L_2016003ES.01001801-E0012" w:history="1">
        <w:r w:rsidR="00CB404A" w:rsidRPr="00685182">
          <w:rPr>
            <w:rFonts w:ascii="Times New Roman" w:eastAsia="Times New Roman" w:hAnsi="Times New Roman"/>
            <w:color w:val="0000FF"/>
            <w:u w:val="single"/>
            <w:lang w:eastAsia="es-ES"/>
          </w:rPr>
          <w:t>(</w:t>
        </w:r>
        <w:r w:rsidR="00CB404A" w:rsidRPr="00685182">
          <w:rPr>
            <w:rFonts w:ascii="Times New Roman" w:eastAsia="Times New Roman" w:hAnsi="Times New Roman"/>
            <w:color w:val="0000FF"/>
            <w:sz w:val="15"/>
            <w:szCs w:val="15"/>
            <w:u w:val="single"/>
            <w:vertAlign w:val="superscript"/>
            <w:lang w:eastAsia="es-ES"/>
          </w:rPr>
          <w:t>12</w:t>
        </w:r>
        <w:r w:rsidR="00CB404A" w:rsidRPr="00685182">
          <w:rPr>
            <w:rFonts w:ascii="Times New Roman" w:eastAsia="Times New Roman" w:hAnsi="Times New Roman"/>
            <w:color w:val="0000FF"/>
            <w:u w:val="single"/>
            <w:lang w:eastAsia="es-ES"/>
          </w:rPr>
          <w:t>)</w:t>
        </w:r>
      </w:hyperlink>
      <w:r w:rsidR="00CB404A" w:rsidRPr="00685182">
        <w:rPr>
          <w:rFonts w:ascii="Times New Roman" w:eastAsia="Times New Roman" w:hAnsi="Times New Roman"/>
          <w:color w:val="444444"/>
          <w:lang w:eastAsia="es-ES"/>
        </w:rPr>
        <w:t>  Estas exigencias pueden ser generales o limitarse exclusivamente a ciertas situaciones, por ejemplo, solo en los procedimientos abiertos o, en el caso de procedimientos en dos fases, solo cuando se invite a participar a todos los candidatos que cumplan los requisitos mínimos.</w:t>
      </w:r>
    </w:p>
    <w:p w:rsidR="00CB404A" w:rsidRPr="00685182" w:rsidRDefault="00947AA6" w:rsidP="00CB404A">
      <w:pPr>
        <w:shd w:val="clear" w:color="auto" w:fill="EEEEEE"/>
        <w:spacing w:before="60" w:after="60" w:line="312" w:lineRule="atLeast"/>
        <w:jc w:val="both"/>
        <w:rPr>
          <w:rFonts w:ascii="Times New Roman" w:eastAsia="Times New Roman" w:hAnsi="Times New Roman"/>
          <w:color w:val="444444"/>
          <w:lang w:eastAsia="es-ES"/>
        </w:rPr>
      </w:pPr>
      <w:hyperlink r:id="rId41" w:anchor="ntc13-L_2016003ES.01001801-E0013" w:history="1">
        <w:r w:rsidR="00CB404A" w:rsidRPr="00685182">
          <w:rPr>
            <w:rFonts w:ascii="Times New Roman" w:eastAsia="Times New Roman" w:hAnsi="Times New Roman"/>
            <w:color w:val="0000FF"/>
            <w:u w:val="single"/>
            <w:lang w:eastAsia="es-ES"/>
          </w:rPr>
          <w:t>(</w:t>
        </w:r>
        <w:r w:rsidR="00CB404A" w:rsidRPr="00685182">
          <w:rPr>
            <w:rFonts w:ascii="Times New Roman" w:eastAsia="Times New Roman" w:hAnsi="Times New Roman"/>
            <w:color w:val="0000FF"/>
            <w:sz w:val="15"/>
            <w:szCs w:val="15"/>
            <w:u w:val="single"/>
            <w:vertAlign w:val="superscript"/>
            <w:lang w:eastAsia="es-ES"/>
          </w:rPr>
          <w:t>13</w:t>
        </w:r>
        <w:r w:rsidR="00CB404A" w:rsidRPr="00685182">
          <w:rPr>
            <w:rFonts w:ascii="Times New Roman" w:eastAsia="Times New Roman" w:hAnsi="Times New Roman"/>
            <w:color w:val="0000FF"/>
            <w:u w:val="single"/>
            <w:lang w:eastAsia="es-ES"/>
          </w:rPr>
          <w:t>)</w:t>
        </w:r>
      </w:hyperlink>
      <w:r w:rsidR="00CB404A" w:rsidRPr="00685182">
        <w:rPr>
          <w:rFonts w:ascii="Times New Roman" w:eastAsia="Times New Roman" w:hAnsi="Times New Roman"/>
          <w:color w:val="444444"/>
          <w:lang w:eastAsia="es-ES"/>
        </w:rPr>
        <w:t>  Directiva 95/46/CE del Parlamento Europeo y del Consejo, de 24 de octubre de 1995, relativa a la protección de las personas físicas en lo que respecta al tratamiento de datos personales y a la libre circulación de estos datos (</w:t>
      </w:r>
      <w:hyperlink r:id="rId42" w:history="1">
        <w:r w:rsidR="00CB404A" w:rsidRPr="00685182">
          <w:rPr>
            <w:rFonts w:ascii="Times New Roman" w:eastAsia="Times New Roman" w:hAnsi="Times New Roman"/>
            <w:color w:val="0000FF"/>
            <w:u w:val="single"/>
            <w:lang w:eastAsia="es-ES"/>
          </w:rPr>
          <w:t>DO L 281 de 23.11.1995, p. 31</w:t>
        </w:r>
      </w:hyperlink>
      <w:r w:rsidR="00CB404A" w:rsidRPr="00685182">
        <w:rPr>
          <w:rFonts w:ascii="Times New Roman" w:eastAsia="Times New Roman" w:hAnsi="Times New Roman"/>
          <w:color w:val="444444"/>
          <w:lang w:eastAsia="es-ES"/>
        </w:rPr>
        <w:t>).</w:t>
      </w:r>
    </w:p>
    <w:p w:rsidR="00CB404A" w:rsidRPr="00685182" w:rsidRDefault="00947AA6" w:rsidP="00CB404A">
      <w:pPr>
        <w:shd w:val="clear" w:color="auto" w:fill="EEEEEE"/>
        <w:spacing w:before="60" w:after="60" w:line="312" w:lineRule="atLeast"/>
        <w:jc w:val="both"/>
        <w:rPr>
          <w:rFonts w:ascii="Times New Roman" w:eastAsia="Times New Roman" w:hAnsi="Times New Roman"/>
          <w:color w:val="444444"/>
          <w:lang w:eastAsia="es-ES"/>
        </w:rPr>
      </w:pPr>
      <w:hyperlink r:id="rId43" w:anchor="ntc14-L_2016003ES.01001801-E0014" w:history="1">
        <w:r w:rsidR="00CB404A" w:rsidRPr="00685182">
          <w:rPr>
            <w:rFonts w:ascii="Times New Roman" w:eastAsia="Times New Roman" w:hAnsi="Times New Roman"/>
            <w:color w:val="0000FF"/>
            <w:u w:val="single"/>
            <w:lang w:eastAsia="es-ES"/>
          </w:rPr>
          <w:t>(</w:t>
        </w:r>
        <w:r w:rsidR="00CB404A" w:rsidRPr="00685182">
          <w:rPr>
            <w:rFonts w:ascii="Times New Roman" w:eastAsia="Times New Roman" w:hAnsi="Times New Roman"/>
            <w:color w:val="0000FF"/>
            <w:sz w:val="15"/>
            <w:szCs w:val="15"/>
            <w:u w:val="single"/>
            <w:vertAlign w:val="superscript"/>
            <w:lang w:eastAsia="es-ES"/>
          </w:rPr>
          <w:t>14</w:t>
        </w:r>
        <w:r w:rsidR="00CB404A" w:rsidRPr="00685182">
          <w:rPr>
            <w:rFonts w:ascii="Times New Roman" w:eastAsia="Times New Roman" w:hAnsi="Times New Roman"/>
            <w:color w:val="0000FF"/>
            <w:u w:val="single"/>
            <w:lang w:eastAsia="es-ES"/>
          </w:rPr>
          <w:t>)</w:t>
        </w:r>
      </w:hyperlink>
      <w:r w:rsidR="00CB404A" w:rsidRPr="00685182">
        <w:rPr>
          <w:rFonts w:ascii="Times New Roman" w:eastAsia="Times New Roman" w:hAnsi="Times New Roman"/>
          <w:color w:val="444444"/>
          <w:lang w:eastAsia="es-ES"/>
        </w:rPr>
        <w:t>  Véase la parte II, sección C.</w:t>
      </w:r>
    </w:p>
    <w:p w:rsidR="00CB404A" w:rsidRPr="00685182" w:rsidRDefault="00947AA6" w:rsidP="00CB404A">
      <w:pPr>
        <w:shd w:val="clear" w:color="auto" w:fill="EEEEEE"/>
        <w:spacing w:before="60" w:after="60" w:line="312" w:lineRule="atLeast"/>
        <w:jc w:val="both"/>
        <w:rPr>
          <w:rFonts w:ascii="Times New Roman" w:eastAsia="Times New Roman" w:hAnsi="Times New Roman"/>
          <w:color w:val="444444"/>
          <w:lang w:eastAsia="es-ES"/>
        </w:rPr>
      </w:pPr>
      <w:hyperlink r:id="rId44" w:anchor="ntc15-L_2016003ES.01001801-E0015" w:history="1">
        <w:r w:rsidR="00CB404A" w:rsidRPr="00685182">
          <w:rPr>
            <w:rFonts w:ascii="Times New Roman" w:eastAsia="Times New Roman" w:hAnsi="Times New Roman"/>
            <w:color w:val="0000FF"/>
            <w:u w:val="single"/>
            <w:lang w:eastAsia="es-ES"/>
          </w:rPr>
          <w:t>(</w:t>
        </w:r>
        <w:r w:rsidR="00CB404A" w:rsidRPr="00685182">
          <w:rPr>
            <w:rFonts w:ascii="Times New Roman" w:eastAsia="Times New Roman" w:hAnsi="Times New Roman"/>
            <w:color w:val="0000FF"/>
            <w:sz w:val="15"/>
            <w:szCs w:val="15"/>
            <w:u w:val="single"/>
            <w:vertAlign w:val="superscript"/>
            <w:lang w:eastAsia="es-ES"/>
          </w:rPr>
          <w:t>15</w:t>
        </w:r>
        <w:r w:rsidR="00CB404A" w:rsidRPr="00685182">
          <w:rPr>
            <w:rFonts w:ascii="Times New Roman" w:eastAsia="Times New Roman" w:hAnsi="Times New Roman"/>
            <w:color w:val="0000FF"/>
            <w:u w:val="single"/>
            <w:lang w:eastAsia="es-ES"/>
          </w:rPr>
          <w:t>)</w:t>
        </w:r>
      </w:hyperlink>
      <w:r w:rsidR="00CB404A" w:rsidRPr="00685182">
        <w:rPr>
          <w:rFonts w:ascii="Times New Roman" w:eastAsia="Times New Roman" w:hAnsi="Times New Roman"/>
          <w:color w:val="444444"/>
          <w:lang w:eastAsia="es-ES"/>
        </w:rPr>
        <w:t>  Por ejemplo: si la oferta y el correspondiente DEUC en un procedimiento abierto se envían a través de un mensaje de correo electrónico provisto de una firma electrónica del tipo requerido, la firma o firmas adicionales en el propio DEUC podrían no ser necesarias. La firma electrónica del DEUC podría también ser innecesaria si el documento se integra en una plataforma de contratación electrónica y se exige la autenticación electrónica para utilizar dicha plataforma.</w:t>
      </w:r>
    </w:p>
    <w:p w:rsidR="00CB404A" w:rsidRPr="00685182" w:rsidRDefault="00947AA6" w:rsidP="00CB404A">
      <w:pPr>
        <w:shd w:val="clear" w:color="auto" w:fill="EEEEEE"/>
        <w:spacing w:before="60" w:after="60" w:line="312" w:lineRule="atLeast"/>
        <w:jc w:val="both"/>
        <w:rPr>
          <w:rFonts w:ascii="Times New Roman" w:eastAsia="Times New Roman" w:hAnsi="Times New Roman"/>
          <w:color w:val="444444"/>
          <w:lang w:eastAsia="es-ES"/>
        </w:rPr>
      </w:pPr>
      <w:hyperlink r:id="rId45" w:anchor="ntc16-L_2016003ES.01001801-E0016" w:history="1">
        <w:r w:rsidR="00CB404A" w:rsidRPr="00685182">
          <w:rPr>
            <w:rFonts w:ascii="Times New Roman" w:eastAsia="Times New Roman" w:hAnsi="Times New Roman"/>
            <w:color w:val="0000FF"/>
            <w:u w:val="single"/>
            <w:lang w:eastAsia="es-ES"/>
          </w:rPr>
          <w:t>(</w:t>
        </w:r>
        <w:r w:rsidR="00CB404A" w:rsidRPr="00685182">
          <w:rPr>
            <w:rFonts w:ascii="Times New Roman" w:eastAsia="Times New Roman" w:hAnsi="Times New Roman"/>
            <w:color w:val="0000FF"/>
            <w:sz w:val="15"/>
            <w:szCs w:val="15"/>
            <w:u w:val="single"/>
            <w:vertAlign w:val="superscript"/>
            <w:lang w:eastAsia="es-ES"/>
          </w:rPr>
          <w:t>16</w:t>
        </w:r>
        <w:r w:rsidR="00CB404A" w:rsidRPr="00685182">
          <w:rPr>
            <w:rFonts w:ascii="Times New Roman" w:eastAsia="Times New Roman" w:hAnsi="Times New Roman"/>
            <w:color w:val="0000FF"/>
            <w:u w:val="single"/>
            <w:lang w:eastAsia="es-ES"/>
          </w:rPr>
          <w:t>)</w:t>
        </w:r>
      </w:hyperlink>
      <w:r w:rsidR="00CB404A" w:rsidRPr="00685182">
        <w:rPr>
          <w:rFonts w:ascii="Times New Roman" w:eastAsia="Times New Roman" w:hAnsi="Times New Roman"/>
          <w:color w:val="444444"/>
          <w:lang w:eastAsia="es-ES"/>
        </w:rPr>
        <w:t>  De conformidad con el artículo 80, apartado 2, de la Directiva 2014/25/UE, las entidades adjudicadoras, sean o no poderes adjudicadores, pueden optar por aplicar los criterios de selección previstos en el artículo 58 de la Directiva 2014/24/UE (parte IV, secciones A, B y C).</w:t>
      </w:r>
    </w:p>
    <w:p w:rsidR="00CB404A" w:rsidRPr="00685182" w:rsidRDefault="00947AA6" w:rsidP="00CB404A">
      <w:pPr>
        <w:shd w:val="clear" w:color="auto" w:fill="EEEEEE"/>
        <w:spacing w:before="60" w:after="60" w:line="312" w:lineRule="atLeast"/>
        <w:jc w:val="both"/>
        <w:rPr>
          <w:rFonts w:ascii="Times New Roman" w:eastAsia="Times New Roman" w:hAnsi="Times New Roman"/>
          <w:color w:val="444444"/>
          <w:lang w:eastAsia="es-ES"/>
        </w:rPr>
      </w:pPr>
      <w:hyperlink r:id="rId46" w:anchor="ntc17-L_2016003ES.01001801-E0017" w:history="1">
        <w:r w:rsidR="00CB404A" w:rsidRPr="00685182">
          <w:rPr>
            <w:rFonts w:ascii="Times New Roman" w:eastAsia="Times New Roman" w:hAnsi="Times New Roman"/>
            <w:color w:val="0000FF"/>
            <w:u w:val="single"/>
            <w:lang w:eastAsia="es-ES"/>
          </w:rPr>
          <w:t>(</w:t>
        </w:r>
        <w:r w:rsidR="00CB404A" w:rsidRPr="00685182">
          <w:rPr>
            <w:rFonts w:ascii="Times New Roman" w:eastAsia="Times New Roman" w:hAnsi="Times New Roman"/>
            <w:color w:val="0000FF"/>
            <w:sz w:val="15"/>
            <w:szCs w:val="15"/>
            <w:u w:val="single"/>
            <w:vertAlign w:val="superscript"/>
            <w:lang w:eastAsia="es-ES"/>
          </w:rPr>
          <w:t>17</w:t>
        </w:r>
        <w:r w:rsidR="00CB404A" w:rsidRPr="00685182">
          <w:rPr>
            <w:rFonts w:ascii="Times New Roman" w:eastAsia="Times New Roman" w:hAnsi="Times New Roman"/>
            <w:color w:val="0000FF"/>
            <w:u w:val="single"/>
            <w:lang w:eastAsia="es-ES"/>
          </w:rPr>
          <w:t>)</w:t>
        </w:r>
      </w:hyperlink>
      <w:r w:rsidR="00CB404A" w:rsidRPr="00685182">
        <w:rPr>
          <w:rFonts w:ascii="Times New Roman" w:eastAsia="Times New Roman" w:hAnsi="Times New Roman"/>
          <w:color w:val="444444"/>
          <w:lang w:eastAsia="es-ES"/>
        </w:rPr>
        <w:t>  Aunque la Directiva 2014/25/UE no prevé expresamente que las entidades adjudicadoras utilicen el DEUC respecto de los requisitos ligados a los sistemas de aseguramiento de la calidad y las normas de gestión medioambiental (parte IV, sección D), debe permitirse que lo hagan por razones prácticas, dado que los artículos 62 y 81 de las Directivas 2014/24/UE y 2014/25/UE, respectivamente, son básicamente idénticos.</w:t>
      </w:r>
    </w:p>
    <w:p w:rsidR="00CB404A" w:rsidRPr="00685182" w:rsidRDefault="00947AA6" w:rsidP="00CB404A">
      <w:pPr>
        <w:shd w:val="clear" w:color="auto" w:fill="EEEEEE"/>
        <w:spacing w:before="60" w:after="60" w:line="312" w:lineRule="atLeast"/>
        <w:jc w:val="both"/>
        <w:rPr>
          <w:rFonts w:ascii="Times New Roman" w:eastAsia="Times New Roman" w:hAnsi="Times New Roman"/>
          <w:color w:val="444444"/>
          <w:lang w:eastAsia="es-ES"/>
        </w:rPr>
      </w:pPr>
      <w:hyperlink r:id="rId47" w:anchor="ntc18-L_2016003ES.01001801-E0018" w:history="1">
        <w:r w:rsidR="00CB404A" w:rsidRPr="00685182">
          <w:rPr>
            <w:rFonts w:ascii="Times New Roman" w:eastAsia="Times New Roman" w:hAnsi="Times New Roman"/>
            <w:color w:val="0000FF"/>
            <w:u w:val="single"/>
            <w:lang w:eastAsia="es-ES"/>
          </w:rPr>
          <w:t>(</w:t>
        </w:r>
        <w:r w:rsidR="00CB404A" w:rsidRPr="00685182">
          <w:rPr>
            <w:rFonts w:ascii="Times New Roman" w:eastAsia="Times New Roman" w:hAnsi="Times New Roman"/>
            <w:color w:val="0000FF"/>
            <w:sz w:val="15"/>
            <w:szCs w:val="15"/>
            <w:u w:val="single"/>
            <w:vertAlign w:val="superscript"/>
            <w:lang w:eastAsia="es-ES"/>
          </w:rPr>
          <w:t>18</w:t>
        </w:r>
        <w:r w:rsidR="00CB404A" w:rsidRPr="00685182">
          <w:rPr>
            <w:rFonts w:ascii="Times New Roman" w:eastAsia="Times New Roman" w:hAnsi="Times New Roman"/>
            <w:color w:val="0000FF"/>
            <w:u w:val="single"/>
            <w:lang w:eastAsia="es-ES"/>
          </w:rPr>
          <w:t>)</w:t>
        </w:r>
      </w:hyperlink>
      <w:r w:rsidR="00CB404A" w:rsidRPr="00685182">
        <w:rPr>
          <w:rFonts w:ascii="Times New Roman" w:eastAsia="Times New Roman" w:hAnsi="Times New Roman"/>
          <w:color w:val="444444"/>
          <w:lang w:eastAsia="es-ES"/>
        </w:rPr>
        <w:t>  De conformidad con el artículo 77, apartado 2, y el artículo 78, apartado 1, de la Directiva 2014/25/UE, las entidades adjudicadoras deben seleccionar a los participantes basándose en normas y criterios objetivos. Tal como se ha indicado anteriormente, estos criterios pueden en algunos casos ser los previstos en la Directiva 2014/24/UE o implicar disposiciones básicamente idénticas (véase la nota a pie de página 16). No obstante, las normas y criterios objetivos también pueden ser específicos de una determinada entidad adjudicadora o de un procedimiento de contratación concreto. Ahora bien, un formulario normalizado no puede abarcar estos casos.</w:t>
      </w:r>
    </w:p>
    <w:p w:rsidR="00277310" w:rsidRPr="00947AA6" w:rsidRDefault="00947AA6" w:rsidP="00947AA6">
      <w:pPr>
        <w:shd w:val="clear" w:color="auto" w:fill="EEEEEE"/>
        <w:spacing w:before="60" w:line="312" w:lineRule="atLeast"/>
        <w:jc w:val="both"/>
        <w:rPr>
          <w:rFonts w:ascii="Times New Roman" w:eastAsia="Times New Roman" w:hAnsi="Times New Roman"/>
          <w:color w:val="444444"/>
          <w:lang w:eastAsia="es-ES"/>
        </w:rPr>
      </w:pPr>
      <w:hyperlink r:id="rId48" w:anchor="ntc19-L_2016003ES.01001801-E0019" w:history="1">
        <w:r w:rsidR="00CB404A" w:rsidRPr="00685182">
          <w:rPr>
            <w:rFonts w:ascii="Times New Roman" w:eastAsia="Times New Roman" w:hAnsi="Times New Roman"/>
            <w:color w:val="0000FF"/>
            <w:u w:val="single"/>
            <w:lang w:eastAsia="es-ES"/>
          </w:rPr>
          <w:t>(</w:t>
        </w:r>
        <w:r w:rsidR="00CB404A" w:rsidRPr="00685182">
          <w:rPr>
            <w:rFonts w:ascii="Times New Roman" w:eastAsia="Times New Roman" w:hAnsi="Times New Roman"/>
            <w:color w:val="0000FF"/>
            <w:sz w:val="15"/>
            <w:szCs w:val="15"/>
            <w:u w:val="single"/>
            <w:vertAlign w:val="superscript"/>
            <w:lang w:eastAsia="es-ES"/>
          </w:rPr>
          <w:t>19</w:t>
        </w:r>
        <w:r w:rsidR="00CB404A" w:rsidRPr="00685182">
          <w:rPr>
            <w:rFonts w:ascii="Times New Roman" w:eastAsia="Times New Roman" w:hAnsi="Times New Roman"/>
            <w:color w:val="0000FF"/>
            <w:u w:val="single"/>
            <w:lang w:eastAsia="es-ES"/>
          </w:rPr>
          <w:t>)</w:t>
        </w:r>
      </w:hyperlink>
      <w:r w:rsidR="00CB404A" w:rsidRPr="00685182">
        <w:rPr>
          <w:rFonts w:ascii="Times New Roman" w:eastAsia="Times New Roman" w:hAnsi="Times New Roman"/>
          <w:color w:val="444444"/>
          <w:lang w:eastAsia="es-ES"/>
        </w:rPr>
        <w:t xml:space="preserve">  Aunque la Directiva 2014/25/UE no prevé expresamente que las entidades adjudicadoras utilicen el DEUC respecto de la reducción del número de candidatos cualificados (parte V), debe permitirse que lo hagan por razones prácticas, dado que tanto el artículo 65 de la Directiva 2014/24/UE como el artículo 78, apartado 2, de la Directiva 2014/25/UE exigen que toda reducción de ese tipo se lleve a cabo con arreglo a criterios o normas </w:t>
      </w:r>
      <w:r w:rsidR="00CB404A">
        <w:rPr>
          <w:rFonts w:ascii="Times New Roman" w:eastAsia="Times New Roman" w:hAnsi="Times New Roman"/>
          <w:color w:val="444444"/>
          <w:lang w:eastAsia="es-ES"/>
        </w:rPr>
        <w:t>objetivos y no discriminatorios</w:t>
      </w:r>
      <w:r>
        <w:rPr>
          <w:rFonts w:ascii="Times New Roman" w:eastAsia="Times New Roman" w:hAnsi="Times New Roman"/>
          <w:color w:val="444444"/>
          <w:lang w:eastAsia="es-ES"/>
        </w:rPr>
        <w:t>.</w:t>
      </w:r>
      <w:bookmarkStart w:id="0" w:name="_GoBack"/>
      <w:bookmarkEnd w:id="0"/>
    </w:p>
    <w:sectPr w:rsidR="00277310" w:rsidRPr="00947AA6">
      <w:headerReference w:type="even" r:id="rId49"/>
      <w:headerReference w:type="default" r:id="rId50"/>
      <w:footerReference w:type="even" r:id="rId51"/>
      <w:footerReference w:type="default" r:id="rId52"/>
      <w:headerReference w:type="first" r:id="rId53"/>
      <w:footerReference w:type="first" r:id="rId5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0FA6" w:rsidRDefault="00680FA6" w:rsidP="002220FF">
      <w:pPr>
        <w:spacing w:after="0" w:line="240" w:lineRule="auto"/>
      </w:pPr>
      <w:r>
        <w:separator/>
      </w:r>
    </w:p>
  </w:endnote>
  <w:endnote w:type="continuationSeparator" w:id="0">
    <w:p w:rsidR="00680FA6" w:rsidRDefault="00680FA6" w:rsidP="002220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Arial Narrow-SM">
    <w:altName w:val="Arial Narrow"/>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22CC" w:rsidRDefault="001E22CC">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9308996"/>
      <w:docPartObj>
        <w:docPartGallery w:val="Page Numbers (Bottom of Page)"/>
        <w:docPartUnique/>
      </w:docPartObj>
    </w:sdtPr>
    <w:sdtEndPr/>
    <w:sdtContent>
      <w:sdt>
        <w:sdtPr>
          <w:id w:val="-1769616900"/>
          <w:docPartObj>
            <w:docPartGallery w:val="Page Numbers (Top of Page)"/>
            <w:docPartUnique/>
          </w:docPartObj>
        </w:sdtPr>
        <w:sdtEndPr/>
        <w:sdtContent>
          <w:p w:rsidR="00CE682D" w:rsidRDefault="00CE682D">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947AA6">
              <w:rPr>
                <w:b/>
                <w:bCs/>
                <w:noProof/>
              </w:rPr>
              <w:t>8</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947AA6">
              <w:rPr>
                <w:b/>
                <w:bCs/>
                <w:noProof/>
              </w:rPr>
              <w:t>8</w:t>
            </w:r>
            <w:r>
              <w:rPr>
                <w:b/>
                <w:bCs/>
                <w:sz w:val="24"/>
                <w:szCs w:val="24"/>
              </w:rPr>
              <w:fldChar w:fldCharType="end"/>
            </w:r>
          </w:p>
        </w:sdtContent>
      </w:sdt>
    </w:sdtContent>
  </w:sdt>
  <w:p w:rsidR="001E22CC" w:rsidRDefault="001E22CC">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22CC" w:rsidRDefault="001E22C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0FA6" w:rsidRDefault="00680FA6" w:rsidP="002220FF">
      <w:pPr>
        <w:spacing w:after="0" w:line="240" w:lineRule="auto"/>
      </w:pPr>
      <w:r>
        <w:separator/>
      </w:r>
    </w:p>
  </w:footnote>
  <w:footnote w:type="continuationSeparator" w:id="0">
    <w:p w:rsidR="00680FA6" w:rsidRDefault="00680FA6" w:rsidP="002220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22CC" w:rsidRDefault="001E22C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773" w:type="dxa"/>
      <w:tblInd w:w="-1126" w:type="dxa"/>
      <w:tblLayout w:type="fixed"/>
      <w:tblCellMar>
        <w:left w:w="0" w:type="dxa"/>
        <w:right w:w="0" w:type="dxa"/>
      </w:tblCellMar>
      <w:tblLook w:val="0000" w:firstRow="0" w:lastRow="0" w:firstColumn="0" w:lastColumn="0" w:noHBand="0" w:noVBand="0"/>
    </w:tblPr>
    <w:tblGrid>
      <w:gridCol w:w="6096"/>
      <w:gridCol w:w="1842"/>
      <w:gridCol w:w="284"/>
      <w:gridCol w:w="2551"/>
    </w:tblGrid>
    <w:tr w:rsidR="002220FF" w:rsidTr="002220FF">
      <w:trPr>
        <w:cantSplit/>
        <w:trHeight w:val="178"/>
      </w:trPr>
      <w:tc>
        <w:tcPr>
          <w:tcW w:w="6096" w:type="dxa"/>
          <w:vMerge w:val="restart"/>
        </w:tcPr>
        <w:p w:rsidR="002220FF" w:rsidRDefault="002220FF" w:rsidP="002220FF">
          <w:pPr>
            <w:pStyle w:val="Encabezado"/>
            <w:spacing w:line="120" w:lineRule="atLeast"/>
          </w:pPr>
        </w:p>
        <w:p w:rsidR="002220FF" w:rsidRDefault="001E22CC" w:rsidP="002220FF">
          <w:pPr>
            <w:pStyle w:val="Encabezado"/>
            <w:spacing w:line="120" w:lineRule="atLeast"/>
            <w:rPr>
              <w:rFonts w:ascii="Arial Narrow-SM" w:hAnsi="Arial Narrow-SM"/>
              <w:position w:val="12"/>
              <w:sz w:val="230"/>
            </w:rPr>
          </w:pPr>
          <w:r>
            <w:rPr>
              <w:noProof/>
              <w:lang w:eastAsia="es-ES"/>
            </w:rPr>
            <mc:AlternateContent>
              <mc:Choice Requires="wps">
                <w:drawing>
                  <wp:anchor distT="45720" distB="45720" distL="114300" distR="114300" simplePos="0" relativeHeight="251659264" behindDoc="0" locked="0" layoutInCell="1" allowOverlap="1">
                    <wp:simplePos x="0" y="0"/>
                    <wp:positionH relativeFrom="column">
                      <wp:posOffset>815588</wp:posOffset>
                    </wp:positionH>
                    <wp:positionV relativeFrom="paragraph">
                      <wp:posOffset>119269</wp:posOffset>
                    </wp:positionV>
                    <wp:extent cx="2360930" cy="476885"/>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476885"/>
                            </a:xfrm>
                            <a:prstGeom prst="rect">
                              <a:avLst/>
                            </a:prstGeom>
                            <a:solidFill>
                              <a:srgbClr val="FFFFFF"/>
                            </a:solidFill>
                            <a:ln w="9525">
                              <a:noFill/>
                              <a:miter lim="800000"/>
                              <a:headEnd/>
                              <a:tailEnd/>
                            </a:ln>
                          </wps:spPr>
                          <wps:txbx>
                            <w:txbxContent>
                              <w:p w:rsidR="001E22CC" w:rsidRPr="001E22CC" w:rsidRDefault="001E22CC" w:rsidP="001E22CC">
                                <w:pPr>
                                  <w:spacing w:after="0" w:line="240" w:lineRule="auto"/>
                                  <w:rPr>
                                    <w:rFonts w:ascii="Arial" w:eastAsia="Times New Roman" w:hAnsi="Arial"/>
                                    <w:sz w:val="18"/>
                                    <w:szCs w:val="18"/>
                                    <w:lang w:eastAsia="es-ES"/>
                                  </w:rPr>
                                </w:pPr>
                                <w:r w:rsidRPr="001E22CC">
                                  <w:rPr>
                                    <w:rFonts w:ascii="Arial" w:eastAsia="Times New Roman" w:hAnsi="Arial"/>
                                    <w:sz w:val="18"/>
                                    <w:szCs w:val="18"/>
                                    <w:lang w:eastAsia="es-ES"/>
                                  </w:rPr>
                                  <w:t>MINISTERIO</w:t>
                                </w:r>
                              </w:p>
                              <w:p w:rsidR="001E22CC" w:rsidRPr="001E22CC" w:rsidRDefault="001E22CC" w:rsidP="001E22CC">
                                <w:pPr>
                                  <w:spacing w:after="0" w:line="240" w:lineRule="auto"/>
                                  <w:rPr>
                                    <w:rFonts w:ascii="Arial" w:eastAsia="Times New Roman" w:hAnsi="Arial"/>
                                    <w:sz w:val="18"/>
                                    <w:szCs w:val="18"/>
                                    <w:lang w:eastAsia="es-ES"/>
                                  </w:rPr>
                                </w:pPr>
                                <w:r w:rsidRPr="001E22CC">
                                  <w:rPr>
                                    <w:rFonts w:ascii="Arial" w:eastAsia="Times New Roman" w:hAnsi="Arial"/>
                                    <w:sz w:val="18"/>
                                    <w:szCs w:val="18"/>
                                    <w:lang w:eastAsia="es-ES"/>
                                  </w:rPr>
                                  <w:t>PARA LA TRANSICIÓN ECOLÓGICA</w:t>
                                </w:r>
                              </w:p>
                              <w:p w:rsidR="001E22CC" w:rsidRPr="001E22CC" w:rsidRDefault="001E22CC" w:rsidP="001E22CC">
                                <w:pPr>
                                  <w:spacing w:after="0" w:line="240" w:lineRule="auto"/>
                                  <w:rPr>
                                    <w:rFonts w:ascii="Arial" w:eastAsia="Times New Roman" w:hAnsi="Arial"/>
                                    <w:sz w:val="18"/>
                                    <w:szCs w:val="18"/>
                                    <w:lang w:eastAsia="es-ES"/>
                                  </w:rPr>
                                </w:pPr>
                                <w:r w:rsidRPr="001E22CC">
                                  <w:rPr>
                                    <w:rFonts w:ascii="Arial" w:eastAsia="Times New Roman" w:hAnsi="Arial"/>
                                    <w:sz w:val="18"/>
                                    <w:szCs w:val="18"/>
                                    <w:lang w:eastAsia="es-ES"/>
                                  </w:rPr>
                                  <w:t>Y EL RETO DEMOGRÁFICO</w:t>
                                </w:r>
                              </w:p>
                              <w:p w:rsidR="001E22CC" w:rsidRDefault="001E22CC"/>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margin-left:64.2pt;margin-top:9.4pt;width:185.9pt;height:37.55pt;z-index:25165926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" stroked="f">
                    <v:textbox>
                      <w:txbxContent>
                        <w:p w:rsidR="001E22CC" w:rsidRPr="001E22CC" w:rsidRDefault="001E22CC" w:rsidP="001E22CC">
                          <w:pPr>
                            <w:spacing w:after="0" w:line="240" w:lineRule="auto"/>
                            <w:rPr>
                              <w:rFonts w:ascii="Arial" w:eastAsia="Times New Roman" w:hAnsi="Arial"/>
                              <w:sz w:val="18"/>
                              <w:szCs w:val="18"/>
                              <w:lang w:eastAsia="es-ES"/>
                            </w:rPr>
                          </w:pPr>
                          <w:r w:rsidRPr="001E22CC">
                            <w:rPr>
                              <w:rFonts w:ascii="Arial" w:eastAsia="Times New Roman" w:hAnsi="Arial"/>
                              <w:sz w:val="18"/>
                              <w:szCs w:val="18"/>
                              <w:lang w:eastAsia="es-ES"/>
                            </w:rPr>
                            <w:t>MINISTERIO</w:t>
                          </w:r>
                        </w:p>
                        <w:p w:rsidR="001E22CC" w:rsidRPr="001E22CC" w:rsidRDefault="001E22CC" w:rsidP="001E22CC">
                          <w:pPr>
                            <w:spacing w:after="0" w:line="240" w:lineRule="auto"/>
                            <w:rPr>
                              <w:rFonts w:ascii="Arial" w:eastAsia="Times New Roman" w:hAnsi="Arial"/>
                              <w:sz w:val="18"/>
                              <w:szCs w:val="18"/>
                              <w:lang w:eastAsia="es-ES"/>
                            </w:rPr>
                          </w:pPr>
                          <w:r w:rsidRPr="001E22CC">
                            <w:rPr>
                              <w:rFonts w:ascii="Arial" w:eastAsia="Times New Roman" w:hAnsi="Arial"/>
                              <w:sz w:val="18"/>
                              <w:szCs w:val="18"/>
                              <w:lang w:eastAsia="es-ES"/>
                            </w:rPr>
                            <w:t>PARA LA TRANSICIÓN ECOLÓGICA</w:t>
                          </w:r>
                        </w:p>
                        <w:p w:rsidR="001E22CC" w:rsidRPr="001E22CC" w:rsidRDefault="001E22CC" w:rsidP="001E22CC">
                          <w:pPr>
                            <w:spacing w:after="0" w:line="240" w:lineRule="auto"/>
                            <w:rPr>
                              <w:rFonts w:ascii="Arial" w:eastAsia="Times New Roman" w:hAnsi="Arial"/>
                              <w:sz w:val="18"/>
                              <w:szCs w:val="18"/>
                              <w:lang w:eastAsia="es-ES"/>
                            </w:rPr>
                          </w:pPr>
                          <w:r w:rsidRPr="001E22CC">
                            <w:rPr>
                              <w:rFonts w:ascii="Arial" w:eastAsia="Times New Roman" w:hAnsi="Arial"/>
                              <w:sz w:val="18"/>
                              <w:szCs w:val="18"/>
                              <w:lang w:eastAsia="es-ES"/>
                            </w:rPr>
                            <w:t>Y EL RETO DEMOGRÁFICO</w:t>
                          </w:r>
                        </w:p>
                        <w:p w:rsidR="001E22CC" w:rsidRDefault="001E22CC"/>
                      </w:txbxContent>
                    </v:textbox>
                    <w10:wrap type="square"/>
                  </v:shape>
                </w:pict>
              </mc:Fallback>
            </mc:AlternateContent>
          </w:r>
          <w:r w:rsidR="002220FF">
            <w:object w:dxaOrig="5673" w:dyaOrig="59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4.85pt;height:46.2pt" o:ole="">
                <v:imagedata r:id="rId1" o:title=""/>
              </v:shape>
              <o:OLEObject Type="Embed" ProgID="PBrush" ShapeID="_x0000_i1026" DrawAspect="Content" ObjectID="_1696397926" r:id="rId2"/>
            </w:object>
          </w:r>
        </w:p>
      </w:tc>
      <w:tc>
        <w:tcPr>
          <w:tcW w:w="1842" w:type="dxa"/>
        </w:tcPr>
        <w:p w:rsidR="002220FF" w:rsidRDefault="002220FF" w:rsidP="002220FF">
          <w:pPr>
            <w:pStyle w:val="Encabezado"/>
            <w:spacing w:line="120" w:lineRule="atLeast"/>
            <w:jc w:val="right"/>
            <w:rPr>
              <w:rFonts w:ascii="Arial" w:hAnsi="Arial"/>
              <w:sz w:val="14"/>
            </w:rPr>
          </w:pPr>
        </w:p>
      </w:tc>
      <w:tc>
        <w:tcPr>
          <w:tcW w:w="284" w:type="dxa"/>
        </w:tcPr>
        <w:p w:rsidR="002220FF" w:rsidRDefault="002220FF" w:rsidP="002220FF">
          <w:pPr>
            <w:pStyle w:val="Encabezado"/>
            <w:rPr>
              <w:rFonts w:ascii="Arial" w:hAnsi="Arial"/>
              <w:sz w:val="14"/>
            </w:rPr>
          </w:pPr>
        </w:p>
      </w:tc>
      <w:tc>
        <w:tcPr>
          <w:tcW w:w="2551" w:type="dxa"/>
        </w:tcPr>
        <w:p w:rsidR="002220FF" w:rsidRDefault="002220FF" w:rsidP="002220FF">
          <w:pPr>
            <w:pStyle w:val="Encabezado"/>
            <w:spacing w:line="160" w:lineRule="exact"/>
            <w:rPr>
              <w:rFonts w:ascii="Arial" w:hAnsi="Arial"/>
              <w:sz w:val="14"/>
            </w:rPr>
          </w:pPr>
        </w:p>
      </w:tc>
    </w:tr>
    <w:tr w:rsidR="002220FF" w:rsidTr="002220FF">
      <w:trPr>
        <w:cantSplit/>
        <w:trHeight w:val="670"/>
      </w:trPr>
      <w:tc>
        <w:tcPr>
          <w:tcW w:w="6096" w:type="dxa"/>
          <w:vMerge/>
        </w:tcPr>
        <w:p w:rsidR="002220FF" w:rsidRDefault="002220FF" w:rsidP="002220FF">
          <w:pPr>
            <w:pStyle w:val="Encabezado"/>
            <w:spacing w:line="120" w:lineRule="atLeast"/>
            <w:rPr>
              <w:rFonts w:ascii="Arial Narrow-SM" w:hAnsi="Arial Narrow-SM"/>
              <w:position w:val="12"/>
              <w:sz w:val="230"/>
            </w:rPr>
          </w:pPr>
        </w:p>
      </w:tc>
      <w:tc>
        <w:tcPr>
          <w:tcW w:w="1842" w:type="dxa"/>
        </w:tcPr>
        <w:p w:rsidR="002220FF" w:rsidRDefault="002220FF" w:rsidP="002220FF">
          <w:pPr>
            <w:pStyle w:val="Encabezado"/>
            <w:spacing w:line="120" w:lineRule="atLeast"/>
            <w:jc w:val="right"/>
            <w:rPr>
              <w:rFonts w:ascii="Arial" w:hAnsi="Arial"/>
              <w:sz w:val="14"/>
            </w:rPr>
          </w:pPr>
        </w:p>
      </w:tc>
      <w:tc>
        <w:tcPr>
          <w:tcW w:w="284" w:type="dxa"/>
          <w:vMerge w:val="restart"/>
        </w:tcPr>
        <w:p w:rsidR="002220FF" w:rsidRDefault="002220FF" w:rsidP="002220FF">
          <w:pPr>
            <w:pStyle w:val="Encabezado"/>
            <w:rPr>
              <w:rFonts w:ascii="Arial" w:hAnsi="Arial"/>
              <w:sz w:val="14"/>
            </w:rPr>
          </w:pPr>
        </w:p>
      </w:tc>
      <w:tc>
        <w:tcPr>
          <w:tcW w:w="2551" w:type="dxa"/>
          <w:shd w:val="pct12" w:color="auto" w:fill="FFFFFF"/>
        </w:tcPr>
        <w:p w:rsidR="002220FF" w:rsidRDefault="002220FF" w:rsidP="002220FF">
          <w:pPr>
            <w:pStyle w:val="Encabezado"/>
            <w:shd w:val="pct12" w:color="auto" w:fill="FFFFFF"/>
            <w:spacing w:line="160" w:lineRule="exact"/>
            <w:rPr>
              <w:rFonts w:ascii="Arial" w:hAnsi="Arial"/>
              <w:sz w:val="14"/>
            </w:rPr>
          </w:pPr>
        </w:p>
        <w:p w:rsidR="002220FF" w:rsidRDefault="001E22CC" w:rsidP="002220FF">
          <w:pPr>
            <w:pStyle w:val="Encabezado"/>
            <w:shd w:val="pct12" w:color="auto" w:fill="FFFFFF"/>
            <w:spacing w:line="160" w:lineRule="exact"/>
            <w:rPr>
              <w:rFonts w:ascii="Arial" w:hAnsi="Arial"/>
              <w:sz w:val="14"/>
            </w:rPr>
          </w:pPr>
          <w:r>
            <w:rPr>
              <w:rFonts w:ascii="Arial" w:hAnsi="Arial"/>
              <w:sz w:val="14"/>
            </w:rPr>
            <w:t>SUBSECRETARÍ</w:t>
          </w:r>
          <w:r w:rsidR="002220FF">
            <w:rPr>
              <w:rFonts w:ascii="Arial" w:hAnsi="Arial"/>
              <w:sz w:val="14"/>
            </w:rPr>
            <w:t>A</w:t>
          </w:r>
        </w:p>
        <w:p w:rsidR="002220FF" w:rsidRDefault="002220FF" w:rsidP="002220FF">
          <w:pPr>
            <w:pStyle w:val="Encabezado"/>
            <w:shd w:val="pct12" w:color="auto" w:fill="FFFFFF"/>
            <w:spacing w:line="160" w:lineRule="exact"/>
            <w:rPr>
              <w:rFonts w:ascii="Arial" w:hAnsi="Arial"/>
              <w:sz w:val="14"/>
            </w:rPr>
          </w:pPr>
          <w:r>
            <w:rPr>
              <w:rFonts w:ascii="Arial" w:hAnsi="Arial"/>
              <w:sz w:val="14"/>
            </w:rPr>
            <w:t>PARA LA TRANSICIÓN ECOLÓGICA</w:t>
          </w:r>
        </w:p>
        <w:p w:rsidR="002220FF" w:rsidRDefault="002220FF" w:rsidP="002220FF">
          <w:pPr>
            <w:pStyle w:val="Encabezado"/>
            <w:shd w:val="pct12" w:color="auto" w:fill="FFFFFF"/>
            <w:spacing w:line="160" w:lineRule="exact"/>
            <w:rPr>
              <w:rFonts w:ascii="Arial" w:hAnsi="Arial"/>
              <w:sz w:val="14"/>
            </w:rPr>
          </w:pPr>
          <w:r>
            <w:rPr>
              <w:rFonts w:ascii="Arial" w:hAnsi="Arial"/>
              <w:sz w:val="14"/>
            </w:rPr>
            <w:t>Y EL RETO DEMOGRÁFICO</w:t>
          </w:r>
        </w:p>
      </w:tc>
    </w:tr>
    <w:tr w:rsidR="002220FF" w:rsidTr="002220FF">
      <w:trPr>
        <w:cantSplit/>
        <w:trHeight w:val="869"/>
      </w:trPr>
      <w:tc>
        <w:tcPr>
          <w:tcW w:w="6096" w:type="dxa"/>
          <w:vMerge/>
        </w:tcPr>
        <w:p w:rsidR="002220FF" w:rsidRDefault="002220FF" w:rsidP="002220FF">
          <w:pPr>
            <w:pStyle w:val="Encabezado"/>
            <w:spacing w:line="120" w:lineRule="atLeast"/>
            <w:rPr>
              <w:rFonts w:ascii="Arial Narrow-SM" w:hAnsi="Arial Narrow-SM"/>
              <w:position w:val="12"/>
              <w:sz w:val="230"/>
            </w:rPr>
          </w:pPr>
        </w:p>
      </w:tc>
      <w:tc>
        <w:tcPr>
          <w:tcW w:w="1842" w:type="dxa"/>
        </w:tcPr>
        <w:p w:rsidR="002220FF" w:rsidRDefault="002220FF" w:rsidP="00CE682D">
          <w:pPr>
            <w:pStyle w:val="Encabezado"/>
            <w:spacing w:line="120" w:lineRule="atLeast"/>
            <w:jc w:val="center"/>
            <w:rPr>
              <w:rFonts w:ascii="Arial" w:hAnsi="Arial"/>
              <w:sz w:val="14"/>
            </w:rPr>
          </w:pPr>
        </w:p>
      </w:tc>
      <w:tc>
        <w:tcPr>
          <w:tcW w:w="284" w:type="dxa"/>
          <w:vMerge/>
        </w:tcPr>
        <w:p w:rsidR="002220FF" w:rsidRDefault="002220FF" w:rsidP="002220FF">
          <w:pPr>
            <w:pStyle w:val="Encabezado"/>
            <w:rPr>
              <w:rFonts w:ascii="Arial" w:hAnsi="Arial"/>
              <w:sz w:val="14"/>
            </w:rPr>
          </w:pPr>
        </w:p>
      </w:tc>
      <w:tc>
        <w:tcPr>
          <w:tcW w:w="2551" w:type="dxa"/>
        </w:tcPr>
        <w:p w:rsidR="002220FF" w:rsidRDefault="002220FF" w:rsidP="002220FF">
          <w:pPr>
            <w:pStyle w:val="Encabezado"/>
            <w:spacing w:line="160" w:lineRule="exact"/>
            <w:rPr>
              <w:rFonts w:ascii="Arial" w:hAnsi="Arial"/>
              <w:sz w:val="14"/>
            </w:rPr>
          </w:pPr>
        </w:p>
        <w:p w:rsidR="002220FF" w:rsidRDefault="001E22CC" w:rsidP="001E22CC">
          <w:pPr>
            <w:pStyle w:val="Encabezado"/>
            <w:spacing w:line="160" w:lineRule="exact"/>
            <w:jc w:val="center"/>
            <w:rPr>
              <w:rFonts w:ascii="Arial" w:hAnsi="Arial"/>
              <w:sz w:val="14"/>
            </w:rPr>
          </w:pPr>
          <w:r>
            <w:rPr>
              <w:rFonts w:ascii="Arial" w:hAnsi="Arial"/>
              <w:sz w:val="14"/>
            </w:rPr>
            <w:t>JUNTA Y MESA ÚNICA DE CONTRATACIÓN</w:t>
          </w:r>
        </w:p>
        <w:p w:rsidR="002220FF" w:rsidRDefault="002220FF" w:rsidP="002220FF">
          <w:pPr>
            <w:pStyle w:val="Encabezado"/>
            <w:spacing w:line="160" w:lineRule="exact"/>
            <w:rPr>
              <w:rFonts w:ascii="Arial" w:hAnsi="Arial"/>
              <w:sz w:val="14"/>
            </w:rPr>
          </w:pPr>
        </w:p>
        <w:p w:rsidR="002220FF" w:rsidRDefault="002220FF" w:rsidP="002220FF">
          <w:pPr>
            <w:pStyle w:val="Encabezado"/>
            <w:spacing w:line="160" w:lineRule="exact"/>
            <w:rPr>
              <w:rFonts w:ascii="Arial" w:hAnsi="Arial"/>
              <w:sz w:val="14"/>
            </w:rPr>
          </w:pPr>
        </w:p>
      </w:tc>
    </w:tr>
  </w:tbl>
  <w:p w:rsidR="002220FF" w:rsidRDefault="002220FF">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22CC" w:rsidRDefault="001E22CC">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1638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0FF"/>
    <w:rsid w:val="000E2F76"/>
    <w:rsid w:val="001E22CC"/>
    <w:rsid w:val="002220FF"/>
    <w:rsid w:val="00277310"/>
    <w:rsid w:val="002F0116"/>
    <w:rsid w:val="0043470E"/>
    <w:rsid w:val="00680FA6"/>
    <w:rsid w:val="00947AA6"/>
    <w:rsid w:val="00AC4986"/>
    <w:rsid w:val="00CB404A"/>
    <w:rsid w:val="00CE682D"/>
    <w:rsid w:val="00E258CA"/>
    <w:rsid w:val="00E4359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15:chartTrackingRefBased/>
  <w15:docId w15:val="{E6439F89-09B1-4C22-8EE0-5568289AE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404A"/>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2220FF"/>
    <w:pPr>
      <w:tabs>
        <w:tab w:val="center" w:pos="4252"/>
        <w:tab w:val="right" w:pos="8504"/>
      </w:tabs>
      <w:spacing w:after="0" w:line="240" w:lineRule="auto"/>
    </w:pPr>
    <w:rPr>
      <w:rFonts w:asciiTheme="minorHAnsi" w:eastAsiaTheme="minorHAnsi" w:hAnsiTheme="minorHAnsi" w:cstheme="minorBidi"/>
    </w:rPr>
  </w:style>
  <w:style w:type="character" w:customStyle="1" w:styleId="EncabezadoCar">
    <w:name w:val="Encabezado Car"/>
    <w:basedOn w:val="Fuentedeprrafopredeter"/>
    <w:link w:val="Encabezado"/>
    <w:rsid w:val="002220FF"/>
  </w:style>
  <w:style w:type="paragraph" w:styleId="Piedepgina">
    <w:name w:val="footer"/>
    <w:basedOn w:val="Normal"/>
    <w:link w:val="PiedepginaCar"/>
    <w:uiPriority w:val="99"/>
    <w:unhideWhenUsed/>
    <w:rsid w:val="002220FF"/>
    <w:pPr>
      <w:tabs>
        <w:tab w:val="center" w:pos="4252"/>
        <w:tab w:val="right" w:pos="8504"/>
      </w:tabs>
      <w:spacing w:after="0" w:line="240" w:lineRule="auto"/>
    </w:pPr>
    <w:rPr>
      <w:rFonts w:asciiTheme="minorHAnsi" w:eastAsiaTheme="minorHAnsi" w:hAnsiTheme="minorHAnsi" w:cstheme="minorBidi"/>
    </w:rPr>
  </w:style>
  <w:style w:type="character" w:customStyle="1" w:styleId="PiedepginaCar">
    <w:name w:val="Pie de página Car"/>
    <w:basedOn w:val="Fuentedeprrafopredeter"/>
    <w:link w:val="Piedepgina"/>
    <w:uiPriority w:val="99"/>
    <w:rsid w:val="002220FF"/>
  </w:style>
  <w:style w:type="paragraph" w:customStyle="1" w:styleId="ti-grseq-1">
    <w:name w:val="ti-grseq-1"/>
    <w:basedOn w:val="Normal"/>
    <w:rsid w:val="00CB404A"/>
    <w:pPr>
      <w:spacing w:before="100" w:beforeAutospacing="1" w:after="100" w:afterAutospacing="1" w:line="240" w:lineRule="auto"/>
    </w:pPr>
    <w:rPr>
      <w:rFonts w:ascii="Times New Roman" w:eastAsia="Times New Roman" w:hAnsi="Times New Roman"/>
      <w:sz w:val="24"/>
      <w:szCs w:val="24"/>
      <w:lang w:eastAsia="es-ES"/>
    </w:rPr>
  </w:style>
  <w:style w:type="character" w:customStyle="1" w:styleId="bold">
    <w:name w:val="bold"/>
    <w:rsid w:val="00CB404A"/>
  </w:style>
  <w:style w:type="character" w:styleId="Hipervnculo">
    <w:name w:val="Hyperlink"/>
    <w:uiPriority w:val="99"/>
    <w:unhideWhenUsed/>
    <w:rsid w:val="00CB404A"/>
    <w:rPr>
      <w:color w:val="0000FF"/>
      <w:u w:val="single"/>
    </w:rPr>
  </w:style>
  <w:style w:type="paragraph" w:styleId="Prrafodelista">
    <w:name w:val="List Paragraph"/>
    <w:basedOn w:val="Normal"/>
    <w:uiPriority w:val="34"/>
    <w:qFormat/>
    <w:rsid w:val="00CB404A"/>
    <w:pPr>
      <w:spacing w:after="200" w:line="276" w:lineRule="auto"/>
      <w:ind w:left="720"/>
      <w:contextualSpacing/>
    </w:pPr>
  </w:style>
  <w:style w:type="character" w:styleId="Hipervnculovisitado">
    <w:name w:val="FollowedHyperlink"/>
    <w:basedOn w:val="Fuentedeprrafopredeter"/>
    <w:uiPriority w:val="99"/>
    <w:semiHidden/>
    <w:unhideWhenUsed/>
    <w:rsid w:val="0043470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ur-lex.europa.eu/legal-content/ES/TXT/?uri=uriserv:OJ.L_.2016.003.01.0016.01.SPA&amp;toc=OJ:L:2016:003:TOC" TargetMode="External"/><Relationship Id="rId18" Type="http://schemas.openxmlformats.org/officeDocument/2006/relationships/hyperlink" Target="http://eur-lex.europa.eu/legal-content/ES/TXT/?uri=uriserv:OJ.L_.2016.003.01.0016.01.SPA&amp;toc=OJ:L:2016:003:TOC" TargetMode="External"/><Relationship Id="rId26" Type="http://schemas.openxmlformats.org/officeDocument/2006/relationships/hyperlink" Target="http://eur-lex.europa.eu/legal-content/ES/TXT/?uri=uriserv:OJ.L_.2016.003.01.0016.01.SPA&amp;toc=OJ:L:2016:003:TOC" TargetMode="External"/><Relationship Id="rId39" Type="http://schemas.openxmlformats.org/officeDocument/2006/relationships/hyperlink" Target="http://eur-lex.europa.eu/legal-content/ES/TXT/?uri=uriserv:OJ.L_.2016.003.01.0016.01.SPA&amp;toc=OJ:L:2016:003:TOC" TargetMode="External"/><Relationship Id="rId21" Type="http://schemas.openxmlformats.org/officeDocument/2006/relationships/hyperlink" Target="http://eur-lex.europa.eu/legal-content/ES/TXT/?uri=uriserv:OJ.L_.2016.003.01.0016.01.SPA&amp;toc=OJ:L:2016:003:TOC" TargetMode="External"/><Relationship Id="rId34" Type="http://schemas.openxmlformats.org/officeDocument/2006/relationships/hyperlink" Target="http://eur-lex.europa.eu/legal-content/ES/TXT/?uri=uriserv:OJ.L_.2016.003.01.0016.01.SPA&amp;toc=OJ:L:2016:003:TOC" TargetMode="External"/><Relationship Id="rId42" Type="http://schemas.openxmlformats.org/officeDocument/2006/relationships/hyperlink" Target="http://eur-lex.europa.eu/legal-content/ES/AUTO/?uri=OJ:L:1995:281:TOC" TargetMode="External"/><Relationship Id="rId47" Type="http://schemas.openxmlformats.org/officeDocument/2006/relationships/hyperlink" Target="http://eur-lex.europa.eu/legal-content/ES/TXT/?uri=uriserv:OJ.L_.2016.003.01.0016.01.SPA&amp;toc=OJ:L:2016:003:TOC" TargetMode="External"/><Relationship Id="rId50" Type="http://schemas.openxmlformats.org/officeDocument/2006/relationships/header" Target="header2.xml"/><Relationship Id="rId55" Type="http://schemas.openxmlformats.org/officeDocument/2006/relationships/fontTable" Target="fontTable.xml"/><Relationship Id="rId7" Type="http://schemas.openxmlformats.org/officeDocument/2006/relationships/hyperlink" Target="https://visor.registrodelicitadores.gob.es/home" TargetMode="External"/><Relationship Id="rId2" Type="http://schemas.openxmlformats.org/officeDocument/2006/relationships/styles" Target="styles.xml"/><Relationship Id="rId16" Type="http://schemas.openxmlformats.org/officeDocument/2006/relationships/hyperlink" Target="http://eur-lex.europa.eu/legal-content/ES/TXT/?uri=uriserv:OJ.L_.2016.003.01.0016.01.SPA&amp;toc=OJ:L:2016:003:TOC" TargetMode="External"/><Relationship Id="rId29" Type="http://schemas.openxmlformats.org/officeDocument/2006/relationships/hyperlink" Target="http://eur-lex.europa.eu/legal-content/ES/TXT/?uri=uriserv:OJ.L_.2016.003.01.0016.01.SPA&amp;toc=OJ:L:2016:003:TOC" TargetMode="External"/><Relationship Id="rId11" Type="http://schemas.openxmlformats.org/officeDocument/2006/relationships/hyperlink" Target="https://eur-lex.europa.eu/legal-content/ES/TXT/?uri=uriserv:OJ.L_.2016.003.01.0016.01.SPA&amp;toc=OJ:L:2016:003:TOC" TargetMode="External"/><Relationship Id="rId24" Type="http://schemas.openxmlformats.org/officeDocument/2006/relationships/hyperlink" Target="http://eur-lex.europa.eu/legal-content/ES/TXT/?uri=uriserv:OJ.L_.2016.003.01.0016.01.SPA&amp;toc=OJ:L:2016:003:TOC" TargetMode="External"/><Relationship Id="rId32" Type="http://schemas.openxmlformats.org/officeDocument/2006/relationships/hyperlink" Target="http://eur-lex.europa.eu/legal-content/ES/TXT/?uri=uriserv:OJ.L_.2016.003.01.0016.01.SPA&amp;toc=OJ:L:2016:003:TOC" TargetMode="External"/><Relationship Id="rId37" Type="http://schemas.openxmlformats.org/officeDocument/2006/relationships/hyperlink" Target="http://eur-lex.europa.eu/legal-content/ES/TXT/?uri=uriserv:OJ.L_.2016.003.01.0016.01.SPA&amp;toc=OJ:L:2016:003:TOC" TargetMode="External"/><Relationship Id="rId40" Type="http://schemas.openxmlformats.org/officeDocument/2006/relationships/hyperlink" Target="http://eur-lex.europa.eu/legal-content/ES/TXT/?uri=uriserv:OJ.L_.2016.003.01.0016.01.SPA&amp;toc=OJ:L:2016:003:TOC" TargetMode="External"/><Relationship Id="rId45" Type="http://schemas.openxmlformats.org/officeDocument/2006/relationships/hyperlink" Target="http://eur-lex.europa.eu/legal-content/ES/TXT/?uri=uriserv:OJ.L_.2016.003.01.0016.01.SPA&amp;toc=OJ:L:2016:003:TOC" TargetMode="External"/><Relationship Id="rId53"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yperlink" Target="http://eur-lex.europa.eu/legal-content/ES/TXT/?uri=uriserv:OJ.L_.2016.003.01.0016.01.SPA&amp;toc=OJ:L:2016:003:TOC" TargetMode="External"/><Relationship Id="rId19" Type="http://schemas.openxmlformats.org/officeDocument/2006/relationships/hyperlink" Target="http://eur-lex.europa.eu/legal-content/ES/TXT/?uri=uriserv:OJ.L_.2016.003.01.0016.01.SPA&amp;toc=OJ:L:2016:003:TOC" TargetMode="External"/><Relationship Id="rId31" Type="http://schemas.openxmlformats.org/officeDocument/2006/relationships/hyperlink" Target="http://eur-lex.europa.eu/legal-content/ES/TXT/?uri=uriserv:OJ.L_.2016.003.01.0016.01.SPA&amp;toc=OJ:L:2016:003:TOC" TargetMode="External"/><Relationship Id="rId44" Type="http://schemas.openxmlformats.org/officeDocument/2006/relationships/hyperlink" Target="http://eur-lex.europa.eu/legal-content/ES/TXT/?uri=uriserv:OJ.L_.2016.003.01.0016.01.SPA&amp;toc=OJ:L:2016:003:TOC" TargetMode="External"/><Relationship Id="rId52"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eur-lex.europa.eu/legal-content/ES/TXT/?uri=uriserv:OJ.L_.2016.003.01.0016.01.SPA&amp;toc=OJ:L:2016:003:TOC" TargetMode="External"/><Relationship Id="rId14" Type="http://schemas.openxmlformats.org/officeDocument/2006/relationships/hyperlink" Target="http://eur-lex.europa.eu/legal-content/ES/TXT/?uri=uriserv:OJ.L_.2016.003.01.0016.01.SPA&amp;toc=OJ:L:2016:003:TOC" TargetMode="External"/><Relationship Id="rId22" Type="http://schemas.openxmlformats.org/officeDocument/2006/relationships/hyperlink" Target="http://eur-lex.europa.eu/legal-content/ES/TXT/?uri=uriserv:OJ.L_.2016.003.01.0016.01.SPA&amp;toc=OJ:L:2016:003:TOC" TargetMode="External"/><Relationship Id="rId27" Type="http://schemas.openxmlformats.org/officeDocument/2006/relationships/hyperlink" Target="http://eur-lex.europa.eu/legal-content/ES/TXT/?uri=uriserv:OJ.L_.2016.003.01.0016.01.SPA&amp;toc=OJ:L:2016:003:TOC" TargetMode="External"/><Relationship Id="rId30" Type="http://schemas.openxmlformats.org/officeDocument/2006/relationships/hyperlink" Target="http://eur-lex.europa.eu/legal-content/ES/TXT/?uri=uriserv:OJ.L_.2016.003.01.0016.01.SPA&amp;toc=OJ:L:2016:003:TOC" TargetMode="External"/><Relationship Id="rId35" Type="http://schemas.openxmlformats.org/officeDocument/2006/relationships/hyperlink" Target="http://eur-lex.europa.eu/legal-content/ES/AUTO/?uri=OJ:L:2014:094:TOC" TargetMode="External"/><Relationship Id="rId43" Type="http://schemas.openxmlformats.org/officeDocument/2006/relationships/hyperlink" Target="http://eur-lex.europa.eu/legal-content/ES/TXT/?uri=uriserv:OJ.L_.2016.003.01.0016.01.SPA&amp;toc=OJ:L:2016:003:TOC" TargetMode="External"/><Relationship Id="rId48" Type="http://schemas.openxmlformats.org/officeDocument/2006/relationships/hyperlink" Target="http://eur-lex.europa.eu/legal-content/ES/TXT/?uri=uriserv:OJ.L_.2016.003.01.0016.01.SPA&amp;toc=OJ:L:2016:003:TOC" TargetMode="External"/><Relationship Id="rId56" Type="http://schemas.openxmlformats.org/officeDocument/2006/relationships/theme" Target="theme/theme1.xml"/><Relationship Id="rId8" Type="http://schemas.openxmlformats.org/officeDocument/2006/relationships/hyperlink" Target="http://eur-lex.europa.eu/legal-content/ES/TXT/?uri=uriserv:OJ.L_.2016.003.01.0016.01.SPA&amp;toc=OJ:L:2016:003:TOC" TargetMode="External"/><Relationship Id="rId51"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yperlink" Target="http://eur-lex.europa.eu/legal-content/ES/TXT/?uri=uriserv:OJ.L_.2016.003.01.0016.01.SPA&amp;toc=OJ:L:2016:003:TOC" TargetMode="External"/><Relationship Id="rId17" Type="http://schemas.openxmlformats.org/officeDocument/2006/relationships/hyperlink" Target="http://eur-lex.europa.eu/legal-content/ES/TXT/?uri=uriserv:OJ.L_.2016.003.01.0016.01.SPA&amp;toc=OJ:L:2016:003:TOC" TargetMode="External"/><Relationship Id="rId25" Type="http://schemas.openxmlformats.org/officeDocument/2006/relationships/hyperlink" Target="http://eur-lex.europa.eu/legal-content/ES/TXT/?uri=uriserv:OJ.L_.2016.003.01.0016.01.SPA&amp;toc=OJ:L:2016:003:TOC" TargetMode="External"/><Relationship Id="rId33" Type="http://schemas.openxmlformats.org/officeDocument/2006/relationships/hyperlink" Target="http://eur-lex.europa.eu/legal-content/ES/TXT/?uri=uriserv:OJ.L_.2016.003.01.0016.01.SPA&amp;toc=OJ:L:2016:003:TOC" TargetMode="External"/><Relationship Id="rId38" Type="http://schemas.openxmlformats.org/officeDocument/2006/relationships/hyperlink" Target="http://eur-lex.europa.eu/legal-content/ES/TXT/?uri=uriserv:OJ.L_.2016.003.01.0016.01.SPA&amp;toc=OJ:L:2016:003:TOC" TargetMode="External"/><Relationship Id="rId46" Type="http://schemas.openxmlformats.org/officeDocument/2006/relationships/hyperlink" Target="http://eur-lex.europa.eu/legal-content/ES/TXT/?uri=uriserv:OJ.L_.2016.003.01.0016.01.SPA&amp;toc=OJ:L:2016:003:TOC" TargetMode="External"/><Relationship Id="rId20" Type="http://schemas.openxmlformats.org/officeDocument/2006/relationships/hyperlink" Target="http://eur-lex.europa.eu/legal-content/ES/TXT/?uri=uriserv:OJ.L_.2016.003.01.0016.01.SPA&amp;toc=OJ:L:2016:003:TOC" TargetMode="External"/><Relationship Id="rId41" Type="http://schemas.openxmlformats.org/officeDocument/2006/relationships/hyperlink" Target="http://eur-lex.europa.eu/legal-content/ES/TXT/?uri=uriserv:OJ.L_.2016.003.01.0016.01.SPA&amp;toc=OJ:L:2016:003:TOC" TargetMode="External"/><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http://eur-lex.europa.eu/legal-content/ES/TXT/?uri=uriserv:OJ.L_.2016.003.01.0016.01.SPA&amp;toc=OJ:L:2016:003:TOC" TargetMode="External"/><Relationship Id="rId23" Type="http://schemas.openxmlformats.org/officeDocument/2006/relationships/hyperlink" Target="http://eur-lex.europa.eu/legal-content/ES/TXT/?uri=uriserv:OJ.L_.2016.003.01.0016.01.SPA&amp;toc=OJ:L:2016:003:TOC" TargetMode="External"/><Relationship Id="rId28" Type="http://schemas.openxmlformats.org/officeDocument/2006/relationships/hyperlink" Target="http://eur-lex.europa.eu/legal-content/ES/TXT/?uri=uriserv:OJ.L_.2016.003.01.0016.01.SPA&amp;toc=OJ:L:2016:003:TOC" TargetMode="External"/><Relationship Id="rId36" Type="http://schemas.openxmlformats.org/officeDocument/2006/relationships/hyperlink" Target="http://eur-lex.europa.eu/legal-content/ES/TXT/?uri=uriserv:OJ.L_.2016.003.01.0016.01.SPA&amp;toc=OJ:L:2016:003:TOC" TargetMode="External"/><Relationship Id="rId49"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C866D6-97B5-430C-ABD7-B2D8BE92C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8</Pages>
  <Words>4307</Words>
  <Characters>23690</Characters>
  <Application>Microsoft Office Word</Application>
  <DocSecurity>0</DocSecurity>
  <Lines>197</Lines>
  <Paragraphs>55</Paragraphs>
  <ScaleCrop>false</ScaleCrop>
  <HeadingPairs>
    <vt:vector size="2" baseType="variant">
      <vt:variant>
        <vt:lpstr>Título</vt:lpstr>
      </vt:variant>
      <vt:variant>
        <vt:i4>1</vt:i4>
      </vt:variant>
    </vt:vector>
  </HeadingPairs>
  <TitlesOfParts>
    <vt:vector size="1" baseType="lpstr">
      <vt:lpstr/>
    </vt:vector>
  </TitlesOfParts>
  <Company>MITERD</Company>
  <LinksUpToDate>false</LinksUpToDate>
  <CharactersWithSpaces>27942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Pérez Merlo, María de la Almudena</dc:creator>
  <cp:keywords/>
  <dc:description/>
  <cp:lastModifiedBy>Vázquez Calvo, Julio</cp:lastModifiedBy>
  <cp:revision>10</cp:revision>
  <cp:lastPrinted>2021-10-22T06:52:00Z</cp:lastPrinted>
  <dcterms:created xsi:type="dcterms:W3CDTF">2021-07-06T12:05:00Z</dcterms:created>
  <dcterms:modified xsi:type="dcterms:W3CDTF">2021-10-22T06:52:00Z</dcterms:modified>
</cp:coreProperties>
</file>