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F7743" w14:textId="3D7D6EB0" w:rsidR="007905D7" w:rsidRDefault="007905D7" w:rsidP="007905D7">
      <w:pPr>
        <w:widowControl/>
        <w:rPr>
          <w:rFonts w:ascii="ENAIRE Titillium Light" w:hAnsi="ENAIRE Titillium Light"/>
          <w:b/>
          <w:caps/>
          <w:sz w:val="22"/>
          <w:u w:val="single"/>
          <w:lang w:val="es-ES_tradnl"/>
        </w:rPr>
      </w:pPr>
    </w:p>
    <w:p w14:paraId="7A28C98C" w14:textId="77777777" w:rsidR="00F1335B" w:rsidRPr="00F1335B" w:rsidRDefault="007905D7" w:rsidP="00A87942">
      <w:pPr>
        <w:pStyle w:val="Ttulo1"/>
      </w:pPr>
      <w:bookmarkStart w:id="0" w:name="_Toc175649881"/>
      <w:r w:rsidRPr="00F1335B">
        <w:t>ANEXO I.- MODELO DE PROPOSICIÓN ECONÓMICA</w:t>
      </w:r>
      <w:bookmarkEnd w:id="0"/>
      <w:r w:rsidRPr="00F1335B">
        <w:t xml:space="preserve"> </w:t>
      </w:r>
    </w:p>
    <w:p w14:paraId="00C923E8" w14:textId="77777777" w:rsidR="00F1335B" w:rsidRDefault="00F1335B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0C269C7" w14:textId="77777777" w:rsidR="00F1335B" w:rsidRPr="00E4311D" w:rsidRDefault="00F1335B" w:rsidP="00F1335B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E4311D">
        <w:rPr>
          <w:rFonts w:ascii="ENAIRE Titillium Regular" w:hAnsi="ENAIRE Titillium Regular"/>
          <w:sz w:val="22"/>
          <w:lang w:val="es-ES_tradnl"/>
        </w:rPr>
        <w:t>Don ______________________________________________________con D.N.I._____________ expedido en________________ válido hasta _______________en nombre o representación de __________________________________________________________ con domicilio social en provincia de _________________ código postal ___________ calle ________________________ teléfono _____________ fax ____________ e-mail ____________________________ N.I.F. núm. _______________________________ y con capacidad legal para contratar en nombre de la citada empresa según poder otorgado ante el Notario de _____________________________ Don __________________________________________________________________ con fecha _________________ y número de protocolo ______________________________.</w:t>
      </w:r>
    </w:p>
    <w:p w14:paraId="6D60E0B7" w14:textId="77777777" w:rsidR="00F1335B" w:rsidRDefault="00F1335B" w:rsidP="00F1335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899BC33" w14:textId="77777777" w:rsidR="00F1335B" w:rsidRDefault="00F1335B" w:rsidP="00F1335B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  <w:r w:rsidRPr="00470C31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EXPONE:</w:t>
      </w:r>
    </w:p>
    <w:p w14:paraId="7CD5C3C5" w14:textId="77777777" w:rsidR="00F1335B" w:rsidRDefault="00F1335B" w:rsidP="00F1335B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</w:p>
    <w:p w14:paraId="2FC45534" w14:textId="7260115A" w:rsidR="00F1335B" w:rsidRDefault="00F1335B" w:rsidP="00F1335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F34485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PRIMERO: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desea tomar parte en la contratación del expediente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núm</w:t>
      </w:r>
      <w:proofErr w:type="spellEnd"/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CN 1</w:t>
      </w:r>
      <w:r w:rsidR="000F63F8">
        <w:rPr>
          <w:rFonts w:ascii="ENAIRE Titillium Regular" w:hAnsi="ENAIRE Titillium Regular" w:cs="Arial"/>
          <w:sz w:val="22"/>
          <w:szCs w:val="22"/>
          <w:lang w:val="es-ES_tradnl"/>
        </w:rPr>
        <w:t>89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/2024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="00831716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831716">
        <w:rPr>
          <w:rFonts w:ascii="ENAIRE Titillium Bold" w:hAnsi="ENAIRE Titillium Bold" w:cs="Arial"/>
          <w:noProof/>
          <w:sz w:val="22"/>
          <w:szCs w:val="22"/>
          <w:lang w:val="es-ES_tradnl"/>
        </w:rPr>
        <w:t xml:space="preserve">PINTURA DE DEPÓSITOS DE GASÓLEO DE LA CENTRAL ELÉCTRICA DEL EDIFICIO SSCNA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______________________________________________________________________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 w:rsidRPr="009737B0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1A057074" w14:textId="77777777" w:rsidR="00F1335B" w:rsidRDefault="00F1335B" w:rsidP="00F1335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99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1127"/>
        <w:gridCol w:w="3260"/>
        <w:gridCol w:w="992"/>
        <w:gridCol w:w="1276"/>
        <w:gridCol w:w="1134"/>
        <w:gridCol w:w="1276"/>
      </w:tblGrid>
      <w:tr w:rsidR="00831716" w:rsidRPr="00831716" w14:paraId="7DAF2551" w14:textId="77777777" w:rsidTr="00831716">
        <w:trPr>
          <w:trHeight w:val="1224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63DBA1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PARTIDA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CED98C3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MEDICIÓN (m2)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20A5E03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CONCEPTO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2C56598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IMPORTE LÍMITE UNITARIO (€)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9D73D28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IMPORTE LIMITE TOTAL (€)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51DF35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IMPORTE UNITARIO OFERTADO (€)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CECA628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IMPORTE TOTAL OFERTADO (€) (</w:t>
            </w:r>
          </w:p>
        </w:tc>
      </w:tr>
      <w:tr w:rsidR="00831716" w:rsidRPr="00831716" w14:paraId="44847D00" w14:textId="77777777" w:rsidTr="00831716">
        <w:trPr>
          <w:trHeight w:val="1260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9DFF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05FF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1,00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D09F" w14:textId="77777777" w:rsidR="00831716" w:rsidRPr="00831716" w:rsidRDefault="00831716" w:rsidP="00831716">
            <w:pPr>
              <w:widowControl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Ud. Protección de elementos que se encuentra situados el interior de la zona a pintar y que no se verán afectados por los trabajos de rehabilitación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1417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748,96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9644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748,96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755D" w14:textId="77777777" w:rsidR="00831716" w:rsidRPr="00831716" w:rsidRDefault="00831716" w:rsidP="00831716">
            <w:pPr>
              <w:widowControl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2F48" w14:textId="77777777" w:rsidR="00831716" w:rsidRPr="00831716" w:rsidRDefault="00831716" w:rsidP="00831716">
            <w:pPr>
              <w:widowControl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</w:tr>
      <w:tr w:rsidR="00831716" w:rsidRPr="00831716" w14:paraId="5EDCF474" w14:textId="77777777" w:rsidTr="00831716">
        <w:trPr>
          <w:trHeight w:val="2304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4A69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6DB8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120,00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01F0" w14:textId="3C191FF6" w:rsidR="00831716" w:rsidRPr="00831716" w:rsidRDefault="00831716" w:rsidP="00831716">
            <w:pPr>
              <w:widowControl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m2. Decapado de la pintura de los tanques de gasoil utilizando el decapado mecánico por granallado hasta conseguir grado de limpieza de superficie SA 2-1/2 (según la Norma de preparación de superficies de acero SSPC SP1O) mediante un chorro de partículas diminutas de arena o Silicato de Aluminio. siguiendo lo indicado en el epígrafe 3 del PPT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22B6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17,85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87BE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2.142,00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65F4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2B11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</w:tr>
      <w:tr w:rsidR="00831716" w:rsidRPr="00831716" w14:paraId="4577EA9F" w14:textId="77777777" w:rsidTr="00831716">
        <w:trPr>
          <w:trHeight w:val="1980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F8B4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072E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168,00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37DE" w14:textId="3B82C290" w:rsidR="00831716" w:rsidRPr="00831716" w:rsidRDefault="00831716" w:rsidP="00831716">
            <w:pPr>
              <w:widowControl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m2. Decapado de pinturas viejas y saneado completo de superficie a pintar (rascado o picado de soporte, enmasillado de desperfectos, tratamientos </w:t>
            </w:r>
            <w:r w:rsidR="0083581C"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químicos</w:t>
            </w: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etc</w:t>
            </w:r>
            <w:proofErr w:type="spellEnd"/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), según las indicaciones de la dirección de obra. Incluidos los elementos auxiliares totalmente terminado y Realizado.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166A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10,71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C762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1.799,28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E381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ABB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</w:tr>
      <w:tr w:rsidR="00831716" w:rsidRPr="00831716" w14:paraId="0FB7926C" w14:textId="77777777" w:rsidTr="00831716">
        <w:trPr>
          <w:trHeight w:val="1860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A291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lastRenderedPageBreak/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4F20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168,00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25D0" w14:textId="6BB3F9D5" w:rsidR="00831716" w:rsidRPr="00831716" w:rsidRDefault="00831716" w:rsidP="00831716">
            <w:pPr>
              <w:widowControl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Aplicación de acabado superficial pared de la </w:t>
            </w:r>
            <w:r w:rsidR="0083581C"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edificación</w:t>
            </w: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 </w:t>
            </w:r>
            <w:r w:rsidR="0083581C"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según</w:t>
            </w: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 color a definir por la Dirección del expediente, incluido, lo indicado en el </w:t>
            </w:r>
            <w:r w:rsidR="0083581C"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imprimación</w:t>
            </w: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, capas intermedias y acabado final, todos los elementos auxiliares totalmente terminado y Realizado.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7654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21,42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3F38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3.598,56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24DB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B369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</w:tr>
      <w:tr w:rsidR="00831716" w:rsidRPr="00831716" w14:paraId="5E4997DC" w14:textId="77777777" w:rsidTr="00831716">
        <w:trPr>
          <w:trHeight w:val="1500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F375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8827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120,00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FFEE" w14:textId="58D96423" w:rsidR="00831716" w:rsidRPr="00831716" w:rsidRDefault="00831716" w:rsidP="00831716">
            <w:pPr>
              <w:widowControl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Aplicación de capas de recubrimiento según lo indicado en el </w:t>
            </w:r>
            <w:r w:rsidR="0083581C"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>epígrafe</w:t>
            </w: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 3.2.3 del PPT sobre elementos metálicos, con color a definir por la Dirección del expediente, incluye,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3D67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64,26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80A5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  <w:t xml:space="preserve">7.711,20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06E4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4793" w14:textId="77777777" w:rsidR="00831716" w:rsidRPr="00831716" w:rsidRDefault="00831716" w:rsidP="00831716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8"/>
                <w:szCs w:val="18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18"/>
                <w:szCs w:val="18"/>
                <w:lang w:val="es-ES"/>
              </w:rPr>
              <w:t> </w:t>
            </w:r>
          </w:p>
        </w:tc>
      </w:tr>
      <w:tr w:rsidR="00831716" w:rsidRPr="00831716" w14:paraId="258ADBDA" w14:textId="77777777" w:rsidTr="00831716">
        <w:trPr>
          <w:trHeight w:val="744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3BB5F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b/>
                <w:bCs/>
                <w:snapToGrid/>
                <w:sz w:val="20"/>
                <w:lang w:val="es-ES"/>
              </w:rPr>
            </w:pPr>
            <w:r w:rsidRPr="00831716">
              <w:rPr>
                <w:rFonts w:ascii="Calibri" w:hAnsi="Calibri" w:cs="Calibri"/>
                <w:b/>
                <w:bCs/>
                <w:snapToGrid/>
                <w:sz w:val="20"/>
                <w:lang w:val="es-ES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80D4B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b/>
                <w:bCs/>
                <w:snapToGrid/>
                <w:sz w:val="20"/>
                <w:lang w:val="es-ES"/>
              </w:rPr>
            </w:pPr>
            <w:r w:rsidRPr="00831716">
              <w:rPr>
                <w:rFonts w:ascii="Calibri" w:hAnsi="Calibri" w:cs="Calibri"/>
                <w:b/>
                <w:bCs/>
                <w:snapToGrid/>
                <w:sz w:val="20"/>
                <w:lang w:val="es-ES"/>
              </w:rPr>
              <w:t> 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D1A9" w14:textId="77777777" w:rsidR="00831716" w:rsidRPr="00831716" w:rsidRDefault="00831716" w:rsidP="00831716">
            <w:pPr>
              <w:widowControl/>
              <w:jc w:val="right"/>
              <w:rPr>
                <w:rFonts w:ascii="ENAIRE Titillium Regular" w:hAnsi="ENAIRE Titillium Regular" w:cs="Calibri"/>
                <w:b/>
                <w:bCs/>
                <w:snapToGrid/>
                <w:szCs w:val="24"/>
                <w:lang w:val="es-ES"/>
              </w:rPr>
            </w:pPr>
            <w:r w:rsidRPr="00831716">
              <w:rPr>
                <w:rFonts w:ascii="ENAIRE Titillium Regular" w:hAnsi="ENAIRE Titillium Regular" w:cs="Calibri"/>
                <w:b/>
                <w:bCs/>
                <w:snapToGrid/>
                <w:szCs w:val="24"/>
                <w:lang w:val="es-ES"/>
              </w:rPr>
              <w:t xml:space="preserve">IMPORTE TOTAL OFERTADO (€)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20AF3" w14:textId="77777777" w:rsidR="00831716" w:rsidRPr="00831716" w:rsidRDefault="00831716" w:rsidP="00831716">
            <w:pPr>
              <w:widowControl/>
              <w:rPr>
                <w:rFonts w:ascii="ENAIRE Titillium Regular" w:hAnsi="ENAIRE Titillium Regular" w:cs="Calibri"/>
                <w:snapToGrid/>
                <w:sz w:val="22"/>
                <w:szCs w:val="22"/>
                <w:lang w:val="es-ES"/>
              </w:rPr>
            </w:pPr>
            <w:r w:rsidRPr="00831716">
              <w:rPr>
                <w:rFonts w:ascii="Calibri" w:hAnsi="Calibri" w:cs="Calibri"/>
                <w:snapToGrid/>
                <w:sz w:val="22"/>
                <w:szCs w:val="22"/>
                <w:lang w:val="es-ES"/>
              </w:rPr>
              <w:t> </w:t>
            </w:r>
          </w:p>
        </w:tc>
      </w:tr>
    </w:tbl>
    <w:p w14:paraId="1EEF8BD3" w14:textId="45A3E923" w:rsidR="007905D7" w:rsidRPr="00A87942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6FBBFE1" w14:textId="2BB50B8A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831716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SEGUNDO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: Que conoce y acepta íntegramente los Pliegos de Cláusulas Administrativas Particulares y Prescripciones Técnicas de este expediente, a los cuales se somete en todas sus partes y que son base para esta contratación.</w:t>
      </w:r>
    </w:p>
    <w:p w14:paraId="52FCD867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06D410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6025231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7D640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78334C9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F8CCD3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7A8F0A0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60F38D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46C40D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5801338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1239D30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579B78E6" w14:textId="77777777" w:rsidR="0083581C" w:rsidRDefault="0083581C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E4477C5" w14:textId="77777777" w:rsidR="0083581C" w:rsidRPr="000609D0" w:rsidRDefault="0083581C" w:rsidP="0083581C">
      <w:pPr>
        <w:spacing w:line="240" w:lineRule="exact"/>
        <w:ind w:left="20" w:right="-13"/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Además, se incluirá en las ofertas debidamente cumplimentado el desglose de todos y cada uno de los elementos que integran este Servicio, conforme al documento Presupuesto desglosado (se adjunta en la carpeta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P</w:t>
      </w: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lantillas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Anexos</w:t>
      </w: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, en formato Excel). En caso de no incluir dicho desglose o dejar sin valorar alguno de los elementos, se aplicará a los precios unitarios de licitación el porcentaje de baja ofertado por el licitador </w:t>
      </w:r>
      <w:proofErr w:type="gramStart"/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de acuerdo al</w:t>
      </w:r>
      <w:proofErr w:type="gramEnd"/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siguiente cálculo:</w:t>
      </w:r>
    </w:p>
    <w:p w14:paraId="03B3AE0A" w14:textId="77777777" w:rsidR="0083581C" w:rsidRPr="000609D0" w:rsidRDefault="0083581C" w:rsidP="0083581C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F287792" w14:textId="77777777" w:rsidR="0083581C" w:rsidRPr="000609D0" w:rsidRDefault="0083581C" w:rsidP="0083581C">
      <w:pPr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IL= Importe de licitación (excluidas partidas que no admiten baja)</w:t>
      </w:r>
    </w:p>
    <w:p w14:paraId="6E7FEFE2" w14:textId="77777777" w:rsidR="0083581C" w:rsidRPr="000609D0" w:rsidRDefault="0083581C" w:rsidP="0083581C">
      <w:pPr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IO= Importe oferta (excluidas partidas que no admiten baja)</w:t>
      </w:r>
    </w:p>
    <w:p w14:paraId="3D2294C2" w14:textId="77777777" w:rsidR="0083581C" w:rsidRPr="000609D0" w:rsidRDefault="0083581C" w:rsidP="0083581C">
      <w:pPr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PB= Porcentaje de Baja </w:t>
      </w:r>
    </w:p>
    <w:p w14:paraId="72B1A06E" w14:textId="77777777" w:rsidR="0083581C" w:rsidRPr="000609D0" w:rsidRDefault="0083581C" w:rsidP="0083581C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PB = (IL-</w:t>
      </w:r>
      <w:proofErr w:type="gramStart"/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IO)/</w:t>
      </w:r>
      <w:proofErr w:type="gramEnd"/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IL</w:t>
      </w:r>
    </w:p>
    <w:p w14:paraId="23030D4A" w14:textId="77777777" w:rsidR="007905D7" w:rsidRPr="00A87942" w:rsidRDefault="007905D7" w:rsidP="009E3F17">
      <w:pPr>
        <w:widowControl/>
        <w:rPr>
          <w:rFonts w:ascii="ENAIRE Titillium Bold" w:hAnsi="ENAIRE Titillium Bold" w:cs="Arial"/>
          <w:b/>
          <w:sz w:val="18"/>
          <w:szCs w:val="18"/>
          <w:lang w:val="es-ES"/>
        </w:rPr>
      </w:pPr>
    </w:p>
    <w:sectPr w:rsidR="007905D7" w:rsidRPr="00A87942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36A1441C" w:rsidR="009B64B8" w:rsidRDefault="009B64B8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="0083581C">
      <w:rPr>
        <w:rFonts w:ascii="ENAIRE Titillium Bold" w:hAnsi="ENAIRE Titillium Bold"/>
        <w:lang w:val="es-ES"/>
      </w:rPr>
      <w:tab/>
    </w:r>
    <w:r w:rsidR="0083581C">
      <w:rPr>
        <w:rFonts w:ascii="ENAIRE Titillium Bold" w:hAnsi="ENAIRE Titillium Bold"/>
        <w:lang w:val="es-ES"/>
      </w:rPr>
      <w:tab/>
    </w:r>
    <w:r w:rsidR="0083581C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83581C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CN 189/2024</w:t>
    </w:r>
  </w:p>
  <w:p w14:paraId="4CACA670" w14:textId="77777777" w:rsidR="00012086" w:rsidRPr="001977B3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84474624">
    <w:abstractNumId w:val="0"/>
  </w:num>
  <w:num w:numId="2" w16cid:durableId="168030398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07758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0F63F8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411E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E5E2E"/>
    <w:rsid w:val="001E69C0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17FE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0F0C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40F6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4D86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9601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1716"/>
    <w:rsid w:val="00834D16"/>
    <w:rsid w:val="00835437"/>
    <w:rsid w:val="0083581C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59A1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6CEB"/>
    <w:rsid w:val="00940468"/>
    <w:rsid w:val="009408AF"/>
    <w:rsid w:val="00941029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E7AC4"/>
    <w:rsid w:val="009F0915"/>
    <w:rsid w:val="009F25F8"/>
    <w:rsid w:val="009F45EC"/>
    <w:rsid w:val="009F56AE"/>
    <w:rsid w:val="009F73C1"/>
    <w:rsid w:val="00A00387"/>
    <w:rsid w:val="00A01591"/>
    <w:rsid w:val="00A076DD"/>
    <w:rsid w:val="00A077DA"/>
    <w:rsid w:val="00A11D3C"/>
    <w:rsid w:val="00A147D7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4E9F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1058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351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5A01"/>
    <w:rsid w:val="00C07E9A"/>
    <w:rsid w:val="00C15D91"/>
    <w:rsid w:val="00C20048"/>
    <w:rsid w:val="00C2168A"/>
    <w:rsid w:val="00C22393"/>
    <w:rsid w:val="00C233D0"/>
    <w:rsid w:val="00C247D1"/>
    <w:rsid w:val="00C31454"/>
    <w:rsid w:val="00C3215D"/>
    <w:rsid w:val="00C3627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5E2C"/>
    <w:rsid w:val="00CB69EA"/>
    <w:rsid w:val="00CB7301"/>
    <w:rsid w:val="00CC0AED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2AF4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4A12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335B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4253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Ortiz Caro, Ana</cp:lastModifiedBy>
  <cp:revision>3</cp:revision>
  <cp:lastPrinted>2018-11-06T11:54:00Z</cp:lastPrinted>
  <dcterms:created xsi:type="dcterms:W3CDTF">2024-08-27T10:51:00Z</dcterms:created>
  <dcterms:modified xsi:type="dcterms:W3CDTF">2024-08-27T10:51:00Z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