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FE42" w14:textId="2344DB06" w:rsidR="00035774" w:rsidRPr="00CA7DA0" w:rsidRDefault="00035774" w:rsidP="00CA7DA0">
      <w:pPr>
        <w:pStyle w:val="Ttulo1"/>
      </w:pPr>
      <w:bookmarkStart w:id="0" w:name="_Toc165980698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B66B41">
        <w:t xml:space="preserve">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DDBA350" w14:textId="2BC87171" w:rsidR="0005028B" w:rsidRPr="00E43A2D" w:rsidRDefault="0005028B" w:rsidP="0005028B">
      <w:pPr>
        <w:jc w:val="both"/>
        <w:rPr>
          <w:rFonts w:ascii="ENAIRE Titillium Regular" w:hAnsi="ENAIRE Titillium Regular" w:cs="Arial"/>
          <w:color w:val="FF0000"/>
          <w:sz w:val="22"/>
          <w:szCs w:val="22"/>
          <w:highlight w:val="yellow"/>
          <w:lang w:val="es-ES_tradnl"/>
        </w:rPr>
      </w:pPr>
      <w:r w:rsidRPr="005C437B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5C437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5C437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CAN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6</w:t>
      </w:r>
      <w:r w:rsidRPr="005C437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9/2024</w:t>
      </w:r>
      <w:r w:rsidRPr="005C437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5C437B">
        <w:rPr>
          <w:rFonts w:ascii="ENAIRE Titillium Regular" w:hAnsi="ENAIRE Titillium Regular" w:cs="Arial"/>
          <w:sz w:val="22"/>
          <w:szCs w:val="22"/>
          <w:lang w:val="es-ES_tradnl"/>
        </w:rPr>
        <w:t>relativo a</w:t>
      </w:r>
      <w:r w:rsidRPr="005C437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05028B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Adquisición de equipamiento de Ferretería para la DRNA </w:t>
      </w:r>
      <w:proofErr w:type="gramStart"/>
      <w:r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C</w:t>
      </w:r>
      <w:r w:rsidRPr="0005028B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anaria</w:t>
      </w:r>
      <w:proofErr w:type="gramEnd"/>
      <w:r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 xml:space="preserve"> </w:t>
      </w:r>
      <w:r w:rsidRPr="005C437B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de </w:t>
      </w:r>
      <w:r w:rsidRPr="005C437B">
        <w:rPr>
          <w:rFonts w:ascii="ENAIRE Titillium Regular" w:hAnsi="ENAIRE Titillium Regular" w:cs="Arial"/>
          <w:b/>
          <w:bCs/>
          <w:sz w:val="22"/>
          <w:szCs w:val="22"/>
          <w:u w:val="single"/>
          <w:lang w:val="es-ES_tradnl"/>
        </w:rPr>
        <w:t>24 MESES</w:t>
      </w:r>
      <w:r w:rsidRPr="005C437B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</w:t>
      </w:r>
      <w:r w:rsidRPr="005C437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6</w:t>
      </w:r>
      <w:r w:rsidRPr="005C437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.000,00€ </w:t>
      </w:r>
      <w:r w:rsidRPr="005C437B">
        <w:rPr>
          <w:rFonts w:ascii="ENAIRE Titillium Regular" w:hAnsi="ENAIRE Titillium Regular" w:cs="Arial"/>
          <w:sz w:val="22"/>
          <w:szCs w:val="22"/>
          <w:lang w:val="es-ES_tradnl"/>
        </w:rPr>
        <w:t>(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SEIS</w:t>
      </w:r>
      <w:r w:rsidRPr="005C437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MIL EUROS)</w:t>
      </w:r>
      <w:r w:rsidRPr="005C437B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 </w:t>
      </w:r>
      <w:r w:rsidRPr="005C437B">
        <w:rPr>
          <w:rFonts w:ascii="ENAIRE Titillium Regular" w:hAnsi="ENAIRE Titillium Regular" w:cs="Arial"/>
          <w:sz w:val="22"/>
          <w:szCs w:val="22"/>
          <w:lang w:val="es-ES_tradnl"/>
        </w:rPr>
        <w:t>(IVA, IGIC, IPSI excluido). Dicho importe incluye todas las partidas del presupuesto</w:t>
      </w:r>
      <w:bookmarkStart w:id="1" w:name="_Hlk97713937"/>
      <w:r w:rsidRPr="005C437B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. </w:t>
      </w:r>
    </w:p>
    <w:bookmarkEnd w:id="1"/>
    <w:p w14:paraId="6E153EC1" w14:textId="77777777" w:rsidR="0005028B" w:rsidRPr="00E43A2D" w:rsidRDefault="0005028B" w:rsidP="0005028B">
      <w:pPr>
        <w:jc w:val="both"/>
        <w:rPr>
          <w:rFonts w:ascii="ENAIRE Titillium Regular" w:hAnsi="ENAIRE Titillium Regular" w:cs="Arial"/>
          <w:color w:val="FF0000"/>
          <w:sz w:val="22"/>
          <w:szCs w:val="22"/>
          <w:highlight w:val="yellow"/>
          <w:lang w:val="es-ES_tradnl"/>
        </w:rPr>
      </w:pPr>
    </w:p>
    <w:p w14:paraId="40155458" w14:textId="1B99EC7F" w:rsidR="0005028B" w:rsidRPr="00824AED" w:rsidRDefault="0005028B" w:rsidP="0005028B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5C437B">
        <w:rPr>
          <w:rFonts w:ascii="ENAIRE Titillium Regular" w:hAnsi="ENAIRE Titillium Regular" w:cs="Arial"/>
          <w:sz w:val="22"/>
          <w:szCs w:val="22"/>
          <w:lang w:val="es-ES"/>
        </w:rPr>
        <w:t xml:space="preserve">SEGUNDO: Que adjunta </w:t>
      </w:r>
      <w:r w:rsidRPr="005C437B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ANEXO I BIS</w:t>
      </w:r>
      <w:r w:rsidRPr="005C437B">
        <w:rPr>
          <w:rFonts w:ascii="ENAIRE Titillium Regular" w:hAnsi="ENAIRE Titillium Regular" w:cs="Arial"/>
          <w:sz w:val="22"/>
          <w:szCs w:val="22"/>
          <w:lang w:val="es-ES"/>
        </w:rPr>
        <w:t xml:space="preserve"> con </w:t>
      </w:r>
      <w:r w:rsidR="00392658">
        <w:rPr>
          <w:rFonts w:ascii="ENAIRE Titillium Regular" w:hAnsi="ENAIRE Titillium Regular" w:cs="Arial"/>
          <w:sz w:val="22"/>
          <w:szCs w:val="22"/>
          <w:lang w:val="es-ES"/>
        </w:rPr>
        <w:t>el listado de artículos ofertados</w:t>
      </w:r>
      <w:r w:rsidRPr="005C437B">
        <w:rPr>
          <w:rFonts w:ascii="ENAIRE Titillium Regular" w:hAnsi="ENAIRE Titillium Regular" w:cs="Arial"/>
          <w:sz w:val="22"/>
          <w:szCs w:val="22"/>
          <w:lang w:val="es-ES"/>
        </w:rPr>
        <w:t>.</w:t>
      </w:r>
    </w:p>
    <w:p w14:paraId="0D5192E8" w14:textId="77777777" w:rsidR="0005028B" w:rsidRPr="00C7505E" w:rsidRDefault="0005028B" w:rsidP="0005028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D7D8715" w14:textId="77777777" w:rsidR="0005028B" w:rsidRPr="00C7505E" w:rsidRDefault="0005028B" w:rsidP="0005028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29683A7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079EA84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CA4594B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069749E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16CBFF1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3825EBA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398F96D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A92A81C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C49D86D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0FFAC1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0C1B17E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E150FE9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FD27030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7D97747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C624CB8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4BE1A8F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951E173" w14:textId="77777777" w:rsidR="0005028B" w:rsidRDefault="0005028B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84ED272" w14:textId="77777777" w:rsidR="0005028B" w:rsidRPr="001478B6" w:rsidRDefault="0005028B" w:rsidP="0005028B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7FAF69C0" w14:textId="71AF7FED" w:rsidR="0005028B" w:rsidRPr="00392658" w:rsidRDefault="0005028B" w:rsidP="00392658">
      <w:pPr>
        <w:pStyle w:val="Ttulo1"/>
        <w:rPr>
          <w:lang w:val="pt-PT"/>
        </w:rPr>
      </w:pPr>
      <w:bookmarkStart w:id="2" w:name="_Toc165980699"/>
      <w:r w:rsidRPr="00392658">
        <w:rPr>
          <w:lang w:val="pt-PT"/>
        </w:rPr>
        <w:lastRenderedPageBreak/>
        <w:t xml:space="preserve">ANEXO I BIS. </w:t>
      </w:r>
      <w:r w:rsidR="00392658" w:rsidRPr="00392658">
        <w:rPr>
          <w:lang w:val="pt-PT"/>
        </w:rPr>
        <w:t>– listado d</w:t>
      </w:r>
      <w:r w:rsidR="00392658">
        <w:rPr>
          <w:lang w:val="pt-PT"/>
        </w:rPr>
        <w:t>e artículos</w:t>
      </w:r>
      <w:bookmarkEnd w:id="2"/>
      <w:r w:rsidR="00392658">
        <w:rPr>
          <w:lang w:val="pt-PT"/>
        </w:rPr>
        <w:t xml:space="preserve"> </w:t>
      </w:r>
    </w:p>
    <w:p w14:paraId="74681048" w14:textId="77777777" w:rsidR="00392658" w:rsidRDefault="00392658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pt-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3"/>
        <w:gridCol w:w="1731"/>
        <w:gridCol w:w="1230"/>
        <w:gridCol w:w="1412"/>
      </w:tblGrid>
      <w:tr w:rsidR="00392658" w:rsidRPr="006B577C" w14:paraId="44759114" w14:textId="77777777" w:rsidTr="00392658">
        <w:trPr>
          <w:trHeight w:val="288"/>
          <w:tblHeader/>
          <w:jc w:val="center"/>
        </w:trPr>
        <w:tc>
          <w:tcPr>
            <w:tcW w:w="4643" w:type="dxa"/>
            <w:shd w:val="clear" w:color="auto" w:fill="D9D9D9" w:themeFill="background1" w:themeFillShade="D9"/>
            <w:noWrap/>
            <w:vAlign w:val="center"/>
            <w:hideMark/>
          </w:tcPr>
          <w:p w14:paraId="7B8D468C" w14:textId="77777777" w:rsidR="00392658" w:rsidRPr="00392658" w:rsidRDefault="00392658" w:rsidP="001113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392658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Artículo*</w:t>
            </w:r>
          </w:p>
          <w:p w14:paraId="75D8640A" w14:textId="77777777" w:rsidR="00392658" w:rsidRPr="00392658" w:rsidRDefault="00392658" w:rsidP="00111329">
            <w:pPr>
              <w:rPr>
                <w:rFonts w:ascii="Times New Roman" w:hAnsi="Times New Roman"/>
                <w:i/>
                <w:sz w:val="18"/>
                <w:szCs w:val="18"/>
                <w:highlight w:val="yellow"/>
                <w:lang w:val="es-ES"/>
              </w:rPr>
            </w:pPr>
            <w:r w:rsidRPr="00392658">
              <w:rPr>
                <w:rFonts w:ascii="Calibri" w:hAnsi="Calibri" w:cs="Calibri"/>
                <w:i/>
                <w:color w:val="000000"/>
                <w:sz w:val="18"/>
                <w:szCs w:val="18"/>
                <w:lang w:val="es-ES"/>
              </w:rPr>
              <w:t>*se aceptan productos alternativos o equivalentes a las marcas/modelos listados en esta tabla</w:t>
            </w:r>
          </w:p>
        </w:tc>
        <w:tc>
          <w:tcPr>
            <w:tcW w:w="1731" w:type="dxa"/>
            <w:shd w:val="clear" w:color="auto" w:fill="D9D9D9" w:themeFill="background1" w:themeFillShade="D9"/>
            <w:noWrap/>
            <w:vAlign w:val="center"/>
            <w:hideMark/>
          </w:tcPr>
          <w:p w14:paraId="0982C527" w14:textId="77777777" w:rsidR="00392658" w:rsidRPr="006B577C" w:rsidRDefault="00392658" w:rsidP="001113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Marca/</w:t>
            </w:r>
            <w:proofErr w:type="spellStart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modelo</w:t>
            </w:r>
            <w:proofErr w:type="spellEnd"/>
          </w:p>
        </w:tc>
        <w:tc>
          <w:tcPr>
            <w:tcW w:w="1230" w:type="dxa"/>
            <w:shd w:val="clear" w:color="auto" w:fill="D9D9D9" w:themeFill="background1" w:themeFillShade="D9"/>
          </w:tcPr>
          <w:p w14:paraId="78D223D5" w14:textId="77777777" w:rsidR="00392658" w:rsidRPr="003677AC" w:rsidRDefault="00392658" w:rsidP="001113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Precio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Ofertado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gramEnd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€ IMP NO INCL) / </w:t>
            </w:r>
            <w:proofErr w:type="spellStart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  <w:proofErr w:type="spellEnd"/>
          </w:p>
        </w:tc>
        <w:tc>
          <w:tcPr>
            <w:tcW w:w="1412" w:type="dxa"/>
            <w:shd w:val="clear" w:color="auto" w:fill="D9D9D9" w:themeFill="background1" w:themeFillShade="D9"/>
            <w:noWrap/>
            <w:vAlign w:val="center"/>
            <w:hideMark/>
          </w:tcPr>
          <w:p w14:paraId="30B5AB33" w14:textId="77777777" w:rsidR="00392658" w:rsidRPr="006B577C" w:rsidRDefault="00392658" w:rsidP="001113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Precio</w:t>
            </w:r>
            <w:proofErr w:type="spellEnd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Máximo de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referencia</w:t>
            </w:r>
            <w:proofErr w:type="spellEnd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(€ IMP NO INCL) / </w:t>
            </w:r>
            <w:proofErr w:type="spellStart"/>
            <w:r w:rsidRPr="003677AC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  <w:proofErr w:type="spellEnd"/>
          </w:p>
        </w:tc>
      </w:tr>
      <w:tr w:rsidR="00392658" w:rsidRPr="006B577C" w14:paraId="7E773A42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  <w:hideMark/>
          </w:tcPr>
          <w:p w14:paraId="6D4B8607" w14:textId="77777777" w:rsidR="00392658" w:rsidRPr="003B1D2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Tijeras 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de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electricista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aisladas</w:t>
            </w:r>
            <w:proofErr w:type="spellEnd"/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561AB9D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0F015D43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26381CC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35,00</w:t>
            </w:r>
          </w:p>
        </w:tc>
      </w:tr>
      <w:tr w:rsidR="00392658" w:rsidRPr="006B577C" w14:paraId="6BDA1887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  <w:hideMark/>
          </w:tcPr>
          <w:p w14:paraId="3F02FD4C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Soldador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JBC 26W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punta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LD (de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lápiz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)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0BC283E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7D60D858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75891B2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6DAEA942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28EBDC18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Puntas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LD (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repuesto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soldador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)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B6751AB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45B4FBDD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B2F391B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0D984FA5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60A02AC2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Tornillo de banco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multiángulo</w:t>
            </w:r>
            <w:proofErr w:type="spellEnd"/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B952FF6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255DE841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EA3D112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0715FCEC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273437F2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Corta cables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95311F0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1230" w:type="dxa"/>
          </w:tcPr>
          <w:p w14:paraId="22E3E18E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pt-PT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B50D55C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pt-PT"/>
              </w:rPr>
            </w:pPr>
            <w:r>
              <w:rPr>
                <w:rFonts w:ascii="Times New Roman" w:hAnsi="Times New Roman"/>
                <w:sz w:val="18"/>
                <w:szCs w:val="18"/>
                <w:lang w:val="pt-PT"/>
              </w:rPr>
              <w:t>30</w:t>
            </w:r>
            <w:r w:rsidRPr="001E6D8E">
              <w:rPr>
                <w:rFonts w:ascii="Times New Roman" w:hAnsi="Times New Roman"/>
                <w:sz w:val="18"/>
                <w:szCs w:val="18"/>
                <w:lang w:val="pt-PT"/>
              </w:rPr>
              <w:t>,00</w:t>
            </w:r>
          </w:p>
        </w:tc>
      </w:tr>
      <w:tr w:rsidR="00392658" w:rsidRPr="00F601E9" w14:paraId="378CC7F7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71949CAF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BC0918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Pegamento</w:t>
            </w:r>
            <w:proofErr w:type="spellEnd"/>
            <w:r w:rsidRPr="00BC0918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proofErr w:type="spellStart"/>
            <w:r w:rsidRPr="00BC0918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cianoacrilato</w:t>
            </w:r>
            <w:proofErr w:type="spellEnd"/>
            <w:r w:rsidRPr="00BC0918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50 gr.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D4BD331" w14:textId="77777777" w:rsidR="00392658" w:rsidRPr="00F601E9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10F1F51E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D552C2F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3B1D2C" w14:paraId="5BFAFDCB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2EE00DBF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Malla para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desoldar</w:t>
            </w:r>
            <w:proofErr w:type="spellEnd"/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47C2902" w14:textId="77777777" w:rsidR="00392658" w:rsidRPr="00013E72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0A3E1CA7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BDDEDDD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2508FA" w14:paraId="320EE1C5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  <w:hideMark/>
          </w:tcPr>
          <w:p w14:paraId="46E72BAA" w14:textId="77777777" w:rsidR="00392658" w:rsidRPr="00BC091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Juego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l</w:t>
            </w:r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lave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s</w:t>
            </w:r>
            <w:proofErr w:type="spellEnd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de </w:t>
            </w:r>
            <w:proofErr w:type="spellStart"/>
            <w:r w:rsidRPr="00F601E9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carraca</w:t>
            </w:r>
            <w:proofErr w:type="spellEnd"/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D82E736" w14:textId="77777777" w:rsidR="00392658" w:rsidRPr="00BC091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11ECBCEA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2181C9F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F601E9" w14:paraId="4DABD128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7FF80C84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646043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Llave </w:t>
            </w:r>
            <w:proofErr w:type="spellStart"/>
            <w:r w:rsidRPr="00646043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dinamométrica</w:t>
            </w:r>
            <w:proofErr w:type="spellEnd"/>
            <w:r w:rsidRPr="00646043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0-20 Nm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A052EDE" w14:textId="77777777" w:rsidR="00392658" w:rsidRPr="00F601E9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63E3F1DC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AC25E63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3B1D2C" w14:paraId="0DB3F885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5383D986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0C7F5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Llave </w:t>
            </w:r>
            <w:proofErr w:type="spellStart"/>
            <w:r w:rsidRPr="000C7F5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dinamométrica</w:t>
            </w:r>
            <w:proofErr w:type="spellEnd"/>
            <w:r w:rsidRPr="000C7F5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5-25 Nm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043CDC66" w14:textId="77777777" w:rsidR="00392658" w:rsidRPr="003B1D2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pt-PT"/>
              </w:rPr>
            </w:pPr>
          </w:p>
        </w:tc>
        <w:tc>
          <w:tcPr>
            <w:tcW w:w="1230" w:type="dxa"/>
          </w:tcPr>
          <w:p w14:paraId="2DDFEC0E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pt-PT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26F9501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pt-PT"/>
              </w:rPr>
            </w:pPr>
            <w:r>
              <w:rPr>
                <w:rFonts w:ascii="Times New Roman" w:hAnsi="Times New Roman"/>
                <w:sz w:val="18"/>
                <w:szCs w:val="18"/>
                <w:lang w:val="pt-PT"/>
              </w:rPr>
              <w:t>30</w:t>
            </w:r>
            <w:r w:rsidRPr="001E6D8E">
              <w:rPr>
                <w:rFonts w:ascii="Times New Roman" w:hAnsi="Times New Roman"/>
                <w:sz w:val="18"/>
                <w:szCs w:val="18"/>
                <w:lang w:val="pt-PT"/>
              </w:rPr>
              <w:t>0,00</w:t>
            </w:r>
          </w:p>
        </w:tc>
      </w:tr>
      <w:tr w:rsidR="00392658" w:rsidRPr="003B1D2C" w14:paraId="6F4738BC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4C51BFCA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Llave dinamométrica 7mm, 0.2-2 Nm</w:t>
            </w:r>
          </w:p>
          <w:p w14:paraId="77377F12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(puede ser fija o con un vaso de 7mm)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712DBD0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19878139" w14:textId="77777777" w:rsidR="00392658" w:rsidRPr="00410ED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E752632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pt-PT"/>
              </w:rPr>
            </w:pPr>
            <w:r>
              <w:rPr>
                <w:rFonts w:ascii="Times New Roman" w:hAnsi="Times New Roman"/>
                <w:sz w:val="18"/>
                <w:szCs w:val="18"/>
                <w:lang w:val="pt-PT"/>
              </w:rPr>
              <w:t>300</w:t>
            </w:r>
            <w:r w:rsidRPr="001E6D8E">
              <w:rPr>
                <w:rFonts w:ascii="Times New Roman" w:hAnsi="Times New Roman"/>
                <w:sz w:val="18"/>
                <w:szCs w:val="18"/>
                <w:lang w:val="pt-PT"/>
              </w:rPr>
              <w:t>,00</w:t>
            </w:r>
          </w:p>
        </w:tc>
      </w:tr>
      <w:tr w:rsidR="00392658" w:rsidRPr="003B1D2C" w14:paraId="759B5E1C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A5865C8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 xml:space="preserve">Soplador con batería y cargador 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4C456945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1DE45E13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5CF9C8DB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5926C242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64764F3B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475A26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Kit de </w:t>
            </w:r>
            <w:proofErr w:type="spellStart"/>
            <w:r w:rsidRPr="00475A26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crimpado</w:t>
            </w:r>
            <w:proofErr w:type="spellEnd"/>
            <w:r w:rsidRPr="00475A26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9CA7C67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58133975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49026A0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160,00</w:t>
            </w:r>
          </w:p>
        </w:tc>
      </w:tr>
      <w:tr w:rsidR="00392658" w:rsidRPr="006B577C" w14:paraId="035F9E17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3EF73AD0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Estación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soldadora</w:t>
            </w:r>
            <w:proofErr w:type="spellEnd"/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2D98196D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3F143899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5CC22CC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92658" w:rsidRPr="006B577C" w14:paraId="1C0BA0BF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064091C1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Mochila/</w:t>
            </w:r>
            <w:proofErr w:type="spellStart"/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trolley</w:t>
            </w:r>
            <w:proofErr w:type="spellEnd"/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 xml:space="preserve"> con ruedas porta herramientas 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762451D5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6A644579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3CA1EC8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92658" w:rsidRPr="006B577C" w14:paraId="6E642D62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05227ACF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Juego destornilladores punta de estrella (aislados 600V).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16CE0C40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79B8BDCD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F565769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5ECA7332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42E0B6E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Juego destornilladores punta plana (aislados 600V).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45793422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55D1C688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6BBA2280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4EF3B17F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7B2382F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lastRenderedPageBreak/>
              <w:t>Juego de alicates universales (aislados 600V)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2B220F95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54BC9CEC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62DCE2BF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500DD9CB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75ED357E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Juego de alicates punta larga (aislados 600V)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282A133E" w14:textId="77777777" w:rsidR="00392658" w:rsidRPr="00392658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  <w:lang w:val="es-ES"/>
              </w:rPr>
            </w:pPr>
          </w:p>
        </w:tc>
        <w:tc>
          <w:tcPr>
            <w:tcW w:w="1230" w:type="dxa"/>
          </w:tcPr>
          <w:p w14:paraId="7130FDB9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7F8297FE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0273B667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3E691797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Martillo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tamaño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normal)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60BAC356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77E49F05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18B5686C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92658" w:rsidRPr="006B577C" w14:paraId="2E44697D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2C29459E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Taladro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con</w:t>
            </w:r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batería</w:t>
            </w:r>
            <w:proofErr w:type="spellEnd"/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46607AB8" w14:textId="77777777" w:rsidR="00392658" w:rsidRPr="006B577C" w:rsidRDefault="00392658" w:rsidP="00111329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</w:p>
        </w:tc>
        <w:tc>
          <w:tcPr>
            <w:tcW w:w="1230" w:type="dxa"/>
          </w:tcPr>
          <w:p w14:paraId="7E50B7C9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79A79D24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</w:tr>
      <w:tr w:rsidR="00392658" w:rsidRPr="006B577C" w14:paraId="1DB30B05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18F9A2F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Juego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 xml:space="preserve"> de b</w:t>
            </w:r>
            <w:r w:rsidRPr="00752E5D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 xml:space="preserve">rocas 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>para</w:t>
            </w:r>
            <w:r w:rsidRPr="00752E5D">
              <w:rPr>
                <w:rFonts w:ascii="ENAIRE Titillium Regular" w:eastAsia="Courier New" w:hAnsi="ENAIRE Titillium Regular" w:cs="Courier New"/>
                <w:sz w:val="18"/>
                <w:szCs w:val="18"/>
                <w:lang w:val="pt-PT"/>
              </w:rPr>
              <w:t xml:space="preserve"> metal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4D1AB246" w14:textId="77777777" w:rsidR="00392658" w:rsidRPr="0045044A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</w:p>
        </w:tc>
        <w:tc>
          <w:tcPr>
            <w:tcW w:w="1230" w:type="dxa"/>
          </w:tcPr>
          <w:p w14:paraId="1435FFEC" w14:textId="77777777" w:rsid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76A7C810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785615BF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78BA865F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Sacabocados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con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compás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.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26C1D643" w14:textId="77777777" w:rsidR="00392658" w:rsidRPr="0045044A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</w:p>
        </w:tc>
        <w:tc>
          <w:tcPr>
            <w:tcW w:w="1230" w:type="dxa"/>
          </w:tcPr>
          <w:p w14:paraId="7545839B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06D6C527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</w:tr>
      <w:tr w:rsidR="00392658" w:rsidRPr="006B577C" w14:paraId="611C3AC5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98D4384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Extractor de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rodamientos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de 3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garras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.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5B63CDA2" w14:textId="77777777" w:rsidR="00392658" w:rsidRPr="0045044A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</w:p>
        </w:tc>
        <w:tc>
          <w:tcPr>
            <w:tcW w:w="1230" w:type="dxa"/>
          </w:tcPr>
          <w:p w14:paraId="1ED49FE9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5E07823D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92658" w:rsidRPr="006B577C" w14:paraId="0463788C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30784E4" w14:textId="77777777" w:rsidR="00392658" w:rsidRPr="00F601E9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Juego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de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tockle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de 3/8”</w:t>
            </w:r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.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2281D2D5" w14:textId="77777777" w:rsidR="00392658" w:rsidRPr="0045044A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</w:p>
        </w:tc>
        <w:tc>
          <w:tcPr>
            <w:tcW w:w="1230" w:type="dxa"/>
          </w:tcPr>
          <w:p w14:paraId="6981EB1A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3825275A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6B577C" w14:paraId="531089F4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771445F5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Aspiradora en seco y húmedo de 1000w. con función de soplado.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5FCCC38F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  <w:tc>
          <w:tcPr>
            <w:tcW w:w="1230" w:type="dxa"/>
          </w:tcPr>
          <w:p w14:paraId="4D773305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70ED1A22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</w:tr>
      <w:tr w:rsidR="00392658" w:rsidRPr="006B577C" w14:paraId="67622274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3C893C5E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Escaleras de 3 peldaños tipo taburete según Normativa EN-14183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77DDBD1C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  <w:tc>
          <w:tcPr>
            <w:tcW w:w="1230" w:type="dxa"/>
          </w:tcPr>
          <w:p w14:paraId="10ACC8A5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4F9A23F4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75,00</w:t>
            </w:r>
          </w:p>
        </w:tc>
      </w:tr>
      <w:tr w:rsidR="00392658" w:rsidRPr="0063322C" w14:paraId="4D998D88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3AD09BAD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Escaleras de 5 peldaños tipo tijera según Normativa EN-131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6FF10606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  <w:tc>
          <w:tcPr>
            <w:tcW w:w="1230" w:type="dxa"/>
          </w:tcPr>
          <w:p w14:paraId="0C810DA4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4DF510FD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92658" w:rsidRPr="00475A26" w14:paraId="30630C85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16D76929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Escalera de 6</w:t>
            </w:r>
            <w:r w:rsidRPr="00392658">
              <w:rPr>
                <w:rFonts w:ascii="Calibri" w:eastAsia="Courier New" w:hAnsi="Calibri" w:cs="Calibri"/>
                <w:sz w:val="18"/>
                <w:szCs w:val="18"/>
                <w:lang w:val="es-ES"/>
              </w:rPr>
              <w:t> </w:t>
            </w: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peldaños tipo tijera según Normativa EN-131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60E9F9B2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  <w:tc>
          <w:tcPr>
            <w:tcW w:w="1230" w:type="dxa"/>
          </w:tcPr>
          <w:p w14:paraId="0B1D1D86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77025AD1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92658" w:rsidRPr="00475A26" w14:paraId="42DB2072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62E42940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  <w:r w:rsidRPr="00392658"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  <w:t>Escaleras de 7 peldaños tipo tijera según Normativa EN-131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660F5B68" w14:textId="77777777" w:rsidR="00392658" w:rsidRPr="00392658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  <w:lang w:val="es-ES"/>
              </w:rPr>
            </w:pPr>
          </w:p>
        </w:tc>
        <w:tc>
          <w:tcPr>
            <w:tcW w:w="1230" w:type="dxa"/>
          </w:tcPr>
          <w:p w14:paraId="763298D8" w14:textId="77777777" w:rsidR="00392658" w:rsidRPr="00392658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0E1E7E2C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392658" w:rsidRPr="00475A26" w14:paraId="755C766C" w14:textId="77777777" w:rsidTr="00392658">
        <w:trPr>
          <w:trHeight w:val="680"/>
          <w:jc w:val="center"/>
        </w:trPr>
        <w:tc>
          <w:tcPr>
            <w:tcW w:w="4643" w:type="dxa"/>
            <w:shd w:val="clear" w:color="auto" w:fill="auto"/>
            <w:noWrap/>
            <w:vAlign w:val="center"/>
          </w:tcPr>
          <w:p w14:paraId="6B7893AC" w14:textId="77777777" w:rsidR="00392658" w:rsidRPr="0045044A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Compresor</w:t>
            </w:r>
            <w:proofErr w:type="spellEnd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de </w:t>
            </w:r>
            <w:proofErr w:type="spellStart"/>
            <w:r w:rsidRPr="0045044A">
              <w:rPr>
                <w:rFonts w:ascii="ENAIRE Titillium Regular" w:eastAsia="Courier New" w:hAnsi="ENAIRE Titillium Regular" w:cs="Courier New"/>
                <w:sz w:val="18"/>
                <w:szCs w:val="18"/>
              </w:rPr>
              <w:t>aire</w:t>
            </w:r>
            <w:proofErr w:type="spellEnd"/>
            <w:r>
              <w:rPr>
                <w:rFonts w:ascii="ENAIRE Titillium Regular" w:eastAsia="Courier New" w:hAnsi="ENAIRE Titillium Regular" w:cs="Courier New"/>
                <w:sz w:val="18"/>
                <w:szCs w:val="18"/>
              </w:rPr>
              <w:t xml:space="preserve"> de 25L.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0BC61AA9" w14:textId="77777777" w:rsidR="00392658" w:rsidRPr="00475A26" w:rsidRDefault="00392658" w:rsidP="00111329">
            <w:pPr>
              <w:rPr>
                <w:rFonts w:ascii="ENAIRE Titillium Regular" w:eastAsia="Courier New" w:hAnsi="ENAIRE Titillium Regular" w:cs="Courier New"/>
                <w:sz w:val="18"/>
                <w:szCs w:val="18"/>
              </w:rPr>
            </w:pPr>
          </w:p>
        </w:tc>
        <w:tc>
          <w:tcPr>
            <w:tcW w:w="1230" w:type="dxa"/>
          </w:tcPr>
          <w:p w14:paraId="49F96B88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  <w:noWrap/>
            <w:vAlign w:val="bottom"/>
          </w:tcPr>
          <w:p w14:paraId="009F2BB5" w14:textId="77777777" w:rsidR="00392658" w:rsidRPr="001E6D8E" w:rsidRDefault="00392658" w:rsidP="001113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D8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1E6D8E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</w:tr>
    </w:tbl>
    <w:p w14:paraId="24E365B9" w14:textId="77777777" w:rsidR="00392658" w:rsidRPr="00392658" w:rsidRDefault="00392658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pt-PT"/>
        </w:rPr>
      </w:pPr>
    </w:p>
    <w:p w14:paraId="2F92A73E" w14:textId="77777777" w:rsidR="00D90504" w:rsidRPr="00392658" w:rsidRDefault="00D90504" w:rsidP="00D90504">
      <w:pPr>
        <w:spacing w:line="360" w:lineRule="exact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Las empresas licitadoras cumplimentarán dicha plantilla y la entregarán junto con el resto de documentación requerida en la licitación. Los precios serán para productos calidad standard. </w:t>
      </w:r>
    </w:p>
    <w:p w14:paraId="73B347E5" w14:textId="77777777" w:rsidR="00D90504" w:rsidRPr="00392658" w:rsidRDefault="00D90504" w:rsidP="00D90504">
      <w:pPr>
        <w:spacing w:line="360" w:lineRule="exact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</w:p>
    <w:p w14:paraId="2826B61D" w14:textId="77777777" w:rsidR="00D90504" w:rsidRPr="00392658" w:rsidRDefault="00D90504" w:rsidP="00D90504">
      <w:pPr>
        <w:spacing w:line="360" w:lineRule="exact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>Las ofertas que no presenten esta plantilla debidamente cumplimentada no serán tenidas en consideración en el proceso de evaluación de ofertas.</w:t>
      </w:r>
    </w:p>
    <w:p w14:paraId="296CAF4F" w14:textId="77777777" w:rsidR="00D90504" w:rsidRPr="00392658" w:rsidRDefault="00D90504" w:rsidP="00D90504">
      <w:pPr>
        <w:spacing w:line="360" w:lineRule="exact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</w:p>
    <w:p w14:paraId="7025400A" w14:textId="77777777" w:rsidR="00D90504" w:rsidRPr="00392658" w:rsidRDefault="00D90504" w:rsidP="00D90504">
      <w:pPr>
        <w:spacing w:before="120" w:after="120" w:line="360" w:lineRule="auto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  <w:bookmarkStart w:id="3" w:name="_Hlk161134264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Así, para la valoración del criterio económico (precio) del expediente, se calculará la media </w:t>
      </w:r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lastRenderedPageBreak/>
        <w:t>ponderada de los precios unitarios según lo establecido en la tabla anterior y con ese valor se obtendrá proporcionalmente la puntuación. El criterio será entonces que la mejor oferta corresponderá al precio más bajo, siguiendo la siguiente fórmula:</w:t>
      </w:r>
    </w:p>
    <w:p w14:paraId="6016A0BD" w14:textId="77777777" w:rsidR="00D90504" w:rsidRPr="00392658" w:rsidRDefault="00D90504" w:rsidP="00D90504">
      <w:pPr>
        <w:spacing w:before="120" w:after="120" w:line="360" w:lineRule="auto"/>
        <w:jc w:val="center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Puntuación = </w:t>
      </w:r>
      <w:proofErr w:type="spellStart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>Puntuación_Máxima</w:t>
      </w:r>
      <w:proofErr w:type="spellEnd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 * (</w:t>
      </w:r>
      <w:proofErr w:type="spellStart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>Precio_Medio_Mínimo</w:t>
      </w:r>
      <w:proofErr w:type="spellEnd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 / </w:t>
      </w:r>
      <w:proofErr w:type="spellStart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>Precio_Medio_Oferta</w:t>
      </w:r>
      <w:proofErr w:type="spellEnd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>).</w:t>
      </w:r>
    </w:p>
    <w:p w14:paraId="5F215C15" w14:textId="77777777" w:rsidR="00D90504" w:rsidRPr="00392658" w:rsidRDefault="00D90504" w:rsidP="00D90504">
      <w:pPr>
        <w:spacing w:before="120" w:after="120" w:line="360" w:lineRule="auto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</w:p>
    <w:p w14:paraId="1DD68146" w14:textId="77777777" w:rsidR="00D90504" w:rsidRPr="00392658" w:rsidRDefault="00D90504" w:rsidP="00D90504">
      <w:pPr>
        <w:spacing w:before="120" w:after="120" w:line="360" w:lineRule="auto"/>
        <w:jc w:val="both"/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</w:pPr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Donde el </w:t>
      </w:r>
      <w:proofErr w:type="spellStart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>Precio_Medio_Mínimo</w:t>
      </w:r>
      <w:proofErr w:type="spellEnd"/>
      <w:r w:rsidRPr="00392658">
        <w:rPr>
          <w:rFonts w:ascii="ENAIRE Titillium Regular" w:hAnsi="ENAIRE Titillium Regular" w:cs="ENAIRE Titillium Regular"/>
          <w:color w:val="000000" w:themeColor="text1"/>
          <w:sz w:val="22"/>
          <w:szCs w:val="22"/>
          <w:lang w:val="es-ES"/>
        </w:rPr>
        <w:t xml:space="preserve"> corresponderá al menor de todas las ofertas presentadas y la puntuación máxima será de 100 puntos.</w:t>
      </w:r>
    </w:p>
    <w:bookmarkEnd w:id="3"/>
    <w:p w14:paraId="0543D498" w14:textId="77777777" w:rsidR="00895C4C" w:rsidRPr="00D90504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"/>
        </w:rPr>
      </w:pPr>
    </w:p>
    <w:p w14:paraId="1C11CE2B" w14:textId="77777777" w:rsidR="00895C4C" w:rsidRDefault="00895C4C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A4DA274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13CCEEB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9DF9713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567A91D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70F5C29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EC61A85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6256E28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68E2DD0" w14:textId="77777777" w:rsidR="00D90504" w:rsidRDefault="00D90504" w:rsidP="00035774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sectPr w:rsidR="00D90504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CAN 69/2024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62211"/>
    <w:multiLevelType w:val="hybridMultilevel"/>
    <w:tmpl w:val="E0EA20F0"/>
    <w:lvl w:ilvl="0" w:tplc="E84A0E90">
      <w:start w:val="4"/>
      <w:numFmt w:val="bullet"/>
      <w:lvlText w:val="-"/>
      <w:lvlJc w:val="left"/>
      <w:pPr>
        <w:ind w:left="1080" w:hanging="360"/>
      </w:pPr>
      <w:rPr>
        <w:rFonts w:ascii="ENAIRE Titillium Bold" w:eastAsia="Times New Roman" w:hAnsi="ENAIRE Titillium Bold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54459"/>
    <w:multiLevelType w:val="hybridMultilevel"/>
    <w:tmpl w:val="70C016A8"/>
    <w:lvl w:ilvl="0" w:tplc="8988B2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0"/>
  </w:num>
  <w:num w:numId="3" w16cid:durableId="1511141689">
    <w:abstractNumId w:val="6"/>
  </w:num>
  <w:num w:numId="4" w16cid:durableId="705564112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1"/>
  </w:num>
  <w:num w:numId="8" w16cid:durableId="1626884827">
    <w:abstractNumId w:val="25"/>
  </w:num>
  <w:num w:numId="9" w16cid:durableId="600912420">
    <w:abstractNumId w:val="32"/>
  </w:num>
  <w:num w:numId="10" w16cid:durableId="1903249704">
    <w:abstractNumId w:val="1"/>
  </w:num>
  <w:num w:numId="11" w16cid:durableId="451169207">
    <w:abstractNumId w:val="24"/>
  </w:num>
  <w:num w:numId="12" w16cid:durableId="505021863">
    <w:abstractNumId w:val="33"/>
  </w:num>
  <w:num w:numId="13" w16cid:durableId="327827728">
    <w:abstractNumId w:val="7"/>
  </w:num>
  <w:num w:numId="14" w16cid:durableId="1067649051">
    <w:abstractNumId w:val="21"/>
  </w:num>
  <w:num w:numId="15" w16cid:durableId="163516631">
    <w:abstractNumId w:val="34"/>
  </w:num>
  <w:num w:numId="16" w16cid:durableId="1379669089">
    <w:abstractNumId w:val="11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0"/>
  </w:num>
  <w:num w:numId="19" w16cid:durableId="1543710062">
    <w:abstractNumId w:val="28"/>
  </w:num>
  <w:num w:numId="20" w16cid:durableId="1659461994">
    <w:abstractNumId w:val="22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29"/>
  </w:num>
  <w:num w:numId="24" w16cid:durableId="1584874335">
    <w:abstractNumId w:val="12"/>
  </w:num>
  <w:num w:numId="25" w16cid:durableId="551842190">
    <w:abstractNumId w:val="15"/>
  </w:num>
  <w:num w:numId="26" w16cid:durableId="1651209277">
    <w:abstractNumId w:val="19"/>
  </w:num>
  <w:num w:numId="27" w16cid:durableId="93278129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0"/>
  </w:num>
  <w:num w:numId="30" w16cid:durableId="676687121">
    <w:abstractNumId w:val="18"/>
  </w:num>
  <w:num w:numId="31" w16cid:durableId="682317107">
    <w:abstractNumId w:val="9"/>
  </w:num>
  <w:num w:numId="32" w16cid:durableId="492338556">
    <w:abstractNumId w:val="26"/>
  </w:num>
  <w:num w:numId="33" w16cid:durableId="1530098500">
    <w:abstractNumId w:val="13"/>
  </w:num>
  <w:num w:numId="34" w16cid:durableId="1016225087">
    <w:abstractNumId w:val="27"/>
  </w:num>
  <w:num w:numId="35" w16cid:durableId="341707030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2ACB"/>
    <w:rsid w:val="00034299"/>
    <w:rsid w:val="00034B43"/>
    <w:rsid w:val="00034B52"/>
    <w:rsid w:val="00035774"/>
    <w:rsid w:val="0004268E"/>
    <w:rsid w:val="0005028B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5DA2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17E00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3DC2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2658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1C93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027B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18D"/>
    <w:rsid w:val="00552A9A"/>
    <w:rsid w:val="005540E0"/>
    <w:rsid w:val="005557CF"/>
    <w:rsid w:val="00560201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75E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3753"/>
    <w:rsid w:val="006C5963"/>
    <w:rsid w:val="006C6F09"/>
    <w:rsid w:val="006C7D7D"/>
    <w:rsid w:val="006D2FE7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485"/>
    <w:rsid w:val="00881C58"/>
    <w:rsid w:val="008852E8"/>
    <w:rsid w:val="00892662"/>
    <w:rsid w:val="00892D0A"/>
    <w:rsid w:val="00893115"/>
    <w:rsid w:val="008955CA"/>
    <w:rsid w:val="00895C4C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75DE6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B3A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63E9E"/>
    <w:rsid w:val="00A70797"/>
    <w:rsid w:val="00A7243C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3AFC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48E0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04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43B5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00D7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character" w:customStyle="1" w:styleId="ui-provider">
    <w:name w:val="ui-provider"/>
    <w:basedOn w:val="Fuentedeprrafopredeter"/>
    <w:rsid w:val="00392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2" ma:contentTypeDescription="Crear nuevo documento." ma:contentTypeScope="" ma:versionID="0665732b07b09c49dd358a259fdd20c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15b5389f178b6c0c5904db889dd7d78c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2B213-B907-4A28-9889-9E830CCB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565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4510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Ramos Sanchez, Davinia</cp:lastModifiedBy>
  <cp:revision>2</cp:revision>
  <cp:lastPrinted>2018-03-23T09:29:00Z</cp:lastPrinted>
  <dcterms:created xsi:type="dcterms:W3CDTF">2024-05-07T12:36:00Z</dcterms:created>
  <dcterms:modified xsi:type="dcterms:W3CDTF">2024-05-07T12:36:00Z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