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52C6C1B-FAED-4FFA-945B-45965C1101D6}"/>
</file>

<file path=customXml/itemProps2.xml><?xml version="1.0" encoding="utf-8"?>
<ds:datastoreItem xmlns:ds="http://schemas.openxmlformats.org/officeDocument/2006/customXml" ds:itemID="{8BE88740-8E5B-4BA7-BCCA-B950AF5D46CA}"/>
</file>

<file path=customXml/itemProps3.xml><?xml version="1.0" encoding="utf-8"?>
<ds:datastoreItem xmlns:ds="http://schemas.openxmlformats.org/officeDocument/2006/customXml" ds:itemID="{F791E426-1948-490C-9EBA-8CFF95ABD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3115400</vt:r8>
  </property>
</Properties>
</file>