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4F6" w:rsidRPr="005D34F6" w:rsidRDefault="005D34F6" w:rsidP="005D34F6">
      <w:pPr>
        <w:widowControl w:val="0"/>
        <w:spacing w:after="0" w:line="240" w:lineRule="auto"/>
        <w:ind w:right="-113"/>
        <w:jc w:val="both"/>
        <w:rPr>
          <w:rFonts w:ascii="ENAIRE Titillium Bold" w:eastAsia="Times New Roman" w:hAnsi="ENAIRE Titillium Bold" w:cs="Times New Roman"/>
          <w:snapToGrid w:val="0"/>
          <w:color w:val="FF0000"/>
          <w:szCs w:val="20"/>
          <w:u w:val="single"/>
          <w:lang w:val="es-ES_tradnl" w:eastAsia="x-none"/>
        </w:rPr>
      </w:pPr>
      <w:bookmarkStart w:id="0" w:name="_Toc33433531"/>
      <w:r w:rsidRPr="005D34F6">
        <w:rPr>
          <w:rFonts w:ascii="ENAIRE Titillium Bold" w:eastAsia="Times New Roman" w:hAnsi="ENAIRE Titillium Bold" w:cs="Times New Roman"/>
          <w:snapToGrid w:val="0"/>
          <w:szCs w:val="20"/>
          <w:u w:val="single"/>
          <w:lang w:val="es-ES_tradnl" w:eastAsia="x-none"/>
        </w:rPr>
        <w:t>ANEXO I - MODELO DE PROPOSICIÓN ECONÓMICA</w:t>
      </w:r>
      <w:bookmarkEnd w:id="0"/>
      <w:r w:rsidRPr="005D34F6">
        <w:rPr>
          <w:rFonts w:ascii="ENAIRE Titillium Bold" w:eastAsia="Times New Roman" w:hAnsi="ENAIRE Titillium Bold" w:cs="Times New Roman"/>
          <w:snapToGrid w:val="0"/>
          <w:szCs w:val="20"/>
          <w:u w:val="single"/>
          <w:lang w:val="es-ES_tradnl" w:eastAsia="x-none"/>
        </w:rPr>
        <w:t xml:space="preserve"> 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  <w:r w:rsidRPr="005D34F6">
        <w:rPr>
          <w:rFonts w:ascii="ENAIRE Titillium Light" w:eastAsia="Times New Roman" w:hAnsi="ENAIRE Titillium Light" w:cs="Arial"/>
          <w:snapToGrid w:val="0"/>
          <w:lang w:val="es-ES_tradnl" w:eastAsia="es-ES"/>
        </w:rPr>
        <w:t xml:space="preserve">                       </w:t>
      </w:r>
      <w:r w:rsidRPr="005D34F6">
        <w:rPr>
          <w:rFonts w:ascii="ENAIRE Titillium Light" w:eastAsia="Times New Roman" w:hAnsi="ENAIRE Titillium Light" w:cs="Arial"/>
          <w:snapToGrid w:val="0"/>
          <w:lang w:val="es-ES_tradnl" w:eastAsia="es-ES"/>
        </w:rPr>
        <w:tab/>
        <w:t xml:space="preserve">                           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Don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D.N.I.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expedido en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válido hasta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en nombre o representación de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domicilio social en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provincia de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código postal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calle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teléfono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fax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e-mail ________ N.I.F. núm.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y con capacidad legal para contratar en nombre de la citada empresa según poder otorgado ante el Notario de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Don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con fecha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número de protocolo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</w:t>
      </w:r>
      <w:proofErr w:type="gramStart"/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.</w:t>
      </w:r>
      <w:proofErr w:type="gramEnd"/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tabs>
          <w:tab w:val="left" w:pos="2977"/>
        </w:tabs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x-none" w:eastAsia="es-ES"/>
        </w:rPr>
      </w:pPr>
      <w:r w:rsidRPr="005D34F6">
        <w:rPr>
          <w:rFonts w:ascii="ENAIRE Titillium Regular" w:eastAsia="Times New Roman" w:hAnsi="ENAIRE Titillium Regular" w:cs="Arial"/>
          <w:snapToGrid w:val="0"/>
          <w:lang w:val="x-none" w:eastAsia="es-ES"/>
        </w:rPr>
        <w:t>EXPONE: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PRIMERO: Que desea tomar parte en la contratación del expediente núm.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</w:t>
      </w:r>
      <w:proofErr w:type="gramStart"/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,</w:t>
      </w:r>
      <w:proofErr w:type="gramEnd"/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relativo a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_________________________________________y ofrece llevarlo a cabo en el plazo de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 y en el precio de </w:t>
      </w:r>
      <w:r w:rsidRPr="005D34F6">
        <w:rPr>
          <w:rFonts w:ascii="ENAIRE Titillium Regular" w:eastAsia="Times New Roman" w:hAnsi="ENAIRE Titillium Regular" w:cs="Arial"/>
          <w:snapToGrid w:val="0"/>
          <w:u w:val="single"/>
          <w:lang w:val="es-ES_tradnl" w:eastAsia="es-ES"/>
        </w:rPr>
        <w:t xml:space="preserve">                   </w:t>
      </w: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€ (IVA, IGIC, IPSI excluido) (en letra y número).  Dicho importe incluye todas las partidas del presupuesto.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color w:val="FF000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</w:pPr>
      <w:r w:rsidRPr="005D34F6">
        <w:rPr>
          <w:rFonts w:ascii="ENAIRE Titillium Regular" w:eastAsia="Times New Roman" w:hAnsi="ENAIRE Titillium Regular" w:cs="Times New Roman"/>
          <w:snapToGrid w:val="0"/>
          <w:szCs w:val="20"/>
          <w:lang w:val="es-ES_tradnl" w:eastAsia="es-ES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5D34F6">
        <w:rPr>
          <w:rFonts w:ascii="ENAIRE Titillium Regular" w:eastAsia="Times New Roman" w:hAnsi="ENAIRE Titillium Regular" w:cs="Arial"/>
          <w:snapToGrid w:val="0"/>
          <w:lang w:val="es-ES_tradnl" w:eastAsia="es-ES"/>
        </w:rPr>
        <w:t>(LUGAR, FECHA Y FIRMA DEL LICITADOR)</w:t>
      </w:r>
      <w:r w:rsidRPr="005D34F6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</w:pPr>
      <w:r w:rsidRPr="005D34F6">
        <w:rPr>
          <w:rFonts w:ascii="ENAIRE Titillium Regular" w:eastAsia="Times New Roman" w:hAnsi="ENAIRE Titillium Regular" w:cs="Arial"/>
          <w:b/>
          <w:snapToGrid w:val="0"/>
          <w:lang w:val="es-ES_tradnl" w:eastAsia="es-ES"/>
        </w:rPr>
        <w:t xml:space="preserve">                                                                                                        </w:t>
      </w:r>
      <w:r w:rsidRPr="005D34F6">
        <w:rPr>
          <w:rFonts w:ascii="ENAIRE Titillium Regular" w:eastAsia="Times New Roman" w:hAnsi="ENAIRE Titillium Regular" w:cs="Arial"/>
          <w:b/>
          <w:snapToGrid w:val="0"/>
          <w:u w:val="single"/>
          <w:lang w:val="es-ES_tradnl" w:eastAsia="es-ES"/>
        </w:rPr>
        <w:t xml:space="preserve">                                                                                                             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Light" w:eastAsia="Times New Roman" w:hAnsi="ENAIRE Titillium Light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u w:val="single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b/>
          <w:snapToGrid w:val="0"/>
          <w:lang w:val="es-ES_tradnl" w:eastAsia="es-ES"/>
        </w:rPr>
        <w:t>Igualmente serán rechazadas aquellas proposiciones cuyo importe supere el presupuesto base de licitación.</w:t>
      </w: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b/>
          <w:snapToGrid w:val="0"/>
          <w:u w:val="single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jc w:val="both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snapToGrid w:val="0"/>
          <w:lang w:eastAsia="es-ES"/>
        </w:rPr>
        <w:t>Se incluirá en las ofertas el desglose en partidas unitarias todos y cada uno de los elementos que integran el servicio</w:t>
      </w:r>
      <w:r w:rsidRPr="005D34F6">
        <w:rPr>
          <w:rFonts w:ascii="ENAIRE Titillium Regular" w:eastAsia="Times New Roman" w:hAnsi="ENAIRE Titillium Regular" w:cs="Arial"/>
          <w:snapToGrid w:val="0"/>
          <w:lang w:eastAsia="es-ES"/>
        </w:rPr>
        <w:t>,</w:t>
      </w:r>
      <w:r w:rsidRPr="005D34F6">
        <w:rPr>
          <w:rFonts w:ascii="ENAIRE Titillium Bold" w:eastAsia="Times New Roman" w:hAnsi="ENAIRE Titillium Bold" w:cs="Arial"/>
          <w:snapToGrid w:val="0"/>
          <w:lang w:eastAsia="es-ES"/>
        </w:rPr>
        <w:t xml:space="preserve"> indicando la cantidad de unidades a servir y el precio unitario de cada una de ellas.</w:t>
      </w:r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 xml:space="preserve"> En caso de no incluir dicho desglose, se aplicará a los precios unitarios de licitación el porcentaje de baja ofertado por el licitador de acuerdo al siguiente cálculo:</w:t>
      </w:r>
    </w:p>
    <w:p w:rsidR="005D34F6" w:rsidRPr="005D34F6" w:rsidRDefault="005D34F6" w:rsidP="005D34F6">
      <w:pPr>
        <w:widowControl w:val="0"/>
        <w:spacing w:after="0" w:line="240" w:lineRule="auto"/>
        <w:ind w:left="142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</w:p>
    <w:p w:rsidR="005D34F6" w:rsidRPr="005D34F6" w:rsidRDefault="005D34F6" w:rsidP="005D34F6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>IL= Importe de licitación (excluidas partidas que no admiten baja)</w:t>
      </w:r>
    </w:p>
    <w:p w:rsidR="005D34F6" w:rsidRPr="005D34F6" w:rsidRDefault="005D34F6" w:rsidP="005D34F6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>IO= Importe oferta (excluidas partidas que no admiten baja)</w:t>
      </w:r>
    </w:p>
    <w:p w:rsidR="005D34F6" w:rsidRPr="005D34F6" w:rsidRDefault="005D34F6" w:rsidP="005D34F6">
      <w:pPr>
        <w:widowControl w:val="0"/>
        <w:spacing w:after="0" w:line="240" w:lineRule="auto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 xml:space="preserve">PB= Porcentaje de Baja </w:t>
      </w:r>
    </w:p>
    <w:p w:rsidR="005D34F6" w:rsidRPr="005D34F6" w:rsidRDefault="005D34F6" w:rsidP="005D34F6">
      <w:pPr>
        <w:widowControl w:val="0"/>
        <w:spacing w:after="0" w:line="240" w:lineRule="auto"/>
        <w:jc w:val="center"/>
        <w:rPr>
          <w:rFonts w:ascii="ENAIRE Titillium Bold" w:eastAsia="Times New Roman" w:hAnsi="ENAIRE Titillium Bold" w:cs="Arial"/>
          <w:snapToGrid w:val="0"/>
          <w:lang w:val="es-ES_tradnl" w:eastAsia="es-ES"/>
        </w:rPr>
      </w:pPr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>PB = (IL-</w:t>
      </w:r>
      <w:proofErr w:type="gramStart"/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>IO)/</w:t>
      </w:r>
      <w:proofErr w:type="gramEnd"/>
      <w:r w:rsidRPr="005D34F6">
        <w:rPr>
          <w:rFonts w:ascii="ENAIRE Titillium Bold" w:eastAsia="Times New Roman" w:hAnsi="ENAIRE Titillium Bold" w:cs="Arial"/>
          <w:snapToGrid w:val="0"/>
          <w:lang w:val="es-ES_tradnl" w:eastAsia="es-ES"/>
        </w:rPr>
        <w:t>IL</w:t>
      </w:r>
    </w:p>
    <w:p w:rsidR="0051745C" w:rsidRDefault="0051745C" w:rsidP="005D34F6">
      <w:bookmarkStart w:id="1" w:name="_GoBack"/>
      <w:bookmarkEnd w:id="1"/>
    </w:p>
    <w:sectPr w:rsidR="005174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Bold">
    <w:altName w:val="Arial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4F6"/>
    <w:rsid w:val="0051745C"/>
    <w:rsid w:val="005D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B1C4"/>
  <w15:chartTrackingRefBased/>
  <w15:docId w15:val="{A1E82835-754C-4851-A431-2A999F87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2020-03-05T08:44:00Z</dcterms:created>
  <dcterms:modified xsi:type="dcterms:W3CDTF">2020-03-05T08:45:00Z</dcterms:modified>
</cp:coreProperties>
</file>