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D673A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17DB1BB2" w14:textId="77777777" w:rsidR="00DE5030" w:rsidRPr="004D664A" w:rsidRDefault="00DE5030" w:rsidP="003C433E">
      <w:pPr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BC23163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7369AD75" w14:textId="1B7CFC13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3830641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37D2A5D" w14:textId="77777777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3CF015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D7FA86" w14:textId="77777777" w:rsidR="003C433E" w:rsidRPr="003C433E" w:rsidRDefault="003C433E" w:rsidP="003C433E">
      <w:pPr>
        <w:tabs>
          <w:tab w:val="left" w:pos="2977"/>
        </w:tabs>
        <w:jc w:val="both"/>
        <w:rPr>
          <w:rFonts w:ascii="ENAIRE Titillium Regular" w:hAnsi="ENAIRE Titillium Regular" w:cs="Arial"/>
          <w:sz w:val="22"/>
          <w:szCs w:val="22"/>
          <w:lang w:val="x-none"/>
        </w:rPr>
      </w:pPr>
      <w:r w:rsidRPr="003C433E">
        <w:rPr>
          <w:rFonts w:ascii="ENAIRE Titillium Regular" w:hAnsi="ENAIRE Titillium Regular" w:cs="Arial"/>
          <w:sz w:val="22"/>
          <w:szCs w:val="22"/>
          <w:lang w:val="x-none"/>
        </w:rPr>
        <w:t>EXPONE:</w:t>
      </w:r>
    </w:p>
    <w:p w14:paraId="52B29E5A" w14:textId="77777777" w:rsidR="003C433E" w:rsidRPr="003C433E" w:rsidRDefault="003C433E" w:rsidP="003C433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2971BAF6" w14:textId="77777777" w:rsidR="003C433E" w:rsidRPr="003C433E" w:rsidRDefault="003C433E" w:rsidP="003C433E">
      <w:pPr>
        <w:widowControl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3C433E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PRIMERO: Que desea tomar parte en la contratación del expediente núm. DNA 360/2024 relativo al Servicio Adicional para Desplazamientos del Personal de los SS.CC. de ENAIRE</w:t>
      </w:r>
      <w:r w:rsidRPr="003C433E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</w:t>
      </w:r>
      <w:r w:rsidRPr="003C433E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y ofrece llevarlo a cabo en el plazo de DIEZ (10) MESES.</w:t>
      </w:r>
      <w:r w:rsidRPr="003C433E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          </w:t>
      </w:r>
      <w:r w:rsidRPr="003C433E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</w:t>
      </w:r>
    </w:p>
    <w:p w14:paraId="0B1E4829" w14:textId="77777777" w:rsidR="003C433E" w:rsidRPr="003C433E" w:rsidRDefault="003C433E" w:rsidP="003C433E">
      <w:pPr>
        <w:widowControl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3C309BD" w14:textId="77777777" w:rsidR="003C433E" w:rsidRPr="003C433E" w:rsidRDefault="003C433E" w:rsidP="003C433E">
      <w:pPr>
        <w:widowControl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3C433E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SEGUNDO:  Que se compromete a ejecutar el servicio referido en la Partida </w:t>
      </w:r>
      <w:proofErr w:type="spellStart"/>
      <w:r w:rsidRPr="003C433E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nº</w:t>
      </w:r>
      <w:proofErr w:type="spellEnd"/>
      <w:r w:rsidRPr="003C433E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1 “Servicio habitual con disponibilidad” en el precio de </w:t>
      </w:r>
      <w:r w:rsidRPr="003C433E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</w:t>
      </w:r>
      <w:r w:rsidRPr="003C433E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€ (IVA, IGIC, IPSI excluido) (en letra y número) y de acuerdo al siguiente desglose:</w:t>
      </w:r>
    </w:p>
    <w:p w14:paraId="0C595E05" w14:textId="77777777" w:rsidR="003C433E" w:rsidRPr="003C433E" w:rsidRDefault="003C433E" w:rsidP="003C433E">
      <w:pPr>
        <w:autoSpaceDE w:val="0"/>
        <w:autoSpaceDN w:val="0"/>
        <w:spacing w:before="19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4"/>
        <w:gridCol w:w="1302"/>
        <w:gridCol w:w="2407"/>
        <w:gridCol w:w="2409"/>
      </w:tblGrid>
      <w:tr w:rsidR="003C433E" w:rsidRPr="003C433E" w14:paraId="7B615CE5" w14:textId="77777777" w:rsidTr="0009004E">
        <w:trPr>
          <w:trHeight w:val="458"/>
        </w:trPr>
        <w:tc>
          <w:tcPr>
            <w:tcW w:w="2954" w:type="dxa"/>
          </w:tcPr>
          <w:p w14:paraId="5B78AECC" w14:textId="77777777" w:rsidR="003C433E" w:rsidRPr="003C433E" w:rsidRDefault="003C433E" w:rsidP="003C433E">
            <w:pPr>
              <w:spacing w:before="116"/>
              <w:ind w:left="6"/>
              <w:jc w:val="center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Categoría</w:t>
            </w:r>
          </w:p>
        </w:tc>
        <w:tc>
          <w:tcPr>
            <w:tcW w:w="1302" w:type="dxa"/>
          </w:tcPr>
          <w:p w14:paraId="3FD69ECD" w14:textId="77777777" w:rsidR="003C433E" w:rsidRPr="003C433E" w:rsidRDefault="003C433E" w:rsidP="003C433E">
            <w:pPr>
              <w:spacing w:before="2"/>
              <w:ind w:left="6"/>
              <w:jc w:val="center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Número</w:t>
            </w:r>
          </w:p>
          <w:p w14:paraId="2796FE62" w14:textId="77777777" w:rsidR="003C433E" w:rsidRPr="003C433E" w:rsidRDefault="003C433E" w:rsidP="003C433E">
            <w:pPr>
              <w:spacing w:before="3" w:line="207" w:lineRule="exact"/>
              <w:ind w:left="6" w:right="2"/>
              <w:jc w:val="center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trabajadores</w:t>
            </w:r>
          </w:p>
        </w:tc>
        <w:tc>
          <w:tcPr>
            <w:tcW w:w="2407" w:type="dxa"/>
          </w:tcPr>
          <w:p w14:paraId="66A9BC42" w14:textId="77777777" w:rsidR="003C433E" w:rsidRPr="003C433E" w:rsidRDefault="003C433E" w:rsidP="003C433E">
            <w:pPr>
              <w:spacing w:before="2"/>
              <w:ind w:left="7" w:right="1"/>
              <w:jc w:val="center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Coste por 10 Meses, por</w:t>
            </w:r>
          </w:p>
          <w:p w14:paraId="18A814D5" w14:textId="77777777" w:rsidR="003C433E" w:rsidRPr="003C433E" w:rsidRDefault="003C433E" w:rsidP="003C433E">
            <w:pPr>
              <w:spacing w:before="3" w:line="207" w:lineRule="exact"/>
              <w:ind w:left="7" w:right="2"/>
              <w:jc w:val="center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trabajador</w:t>
            </w:r>
          </w:p>
        </w:tc>
        <w:tc>
          <w:tcPr>
            <w:tcW w:w="2409" w:type="dxa"/>
          </w:tcPr>
          <w:p w14:paraId="0333F597" w14:textId="77777777" w:rsidR="003C433E" w:rsidRPr="003C433E" w:rsidRDefault="003C433E" w:rsidP="003C433E">
            <w:pPr>
              <w:spacing w:before="116"/>
              <w:ind w:left="6"/>
              <w:jc w:val="center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IMPORTE TOTAL</w:t>
            </w:r>
          </w:p>
        </w:tc>
      </w:tr>
      <w:tr w:rsidR="003C433E" w:rsidRPr="003C433E" w14:paraId="7EDB59F4" w14:textId="77777777" w:rsidTr="0009004E">
        <w:trPr>
          <w:trHeight w:val="687"/>
        </w:trPr>
        <w:tc>
          <w:tcPr>
            <w:tcW w:w="2954" w:type="dxa"/>
          </w:tcPr>
          <w:p w14:paraId="6135C27D" w14:textId="77777777" w:rsidR="003C433E" w:rsidRPr="003C433E" w:rsidRDefault="003C433E" w:rsidP="003C433E">
            <w:pPr>
              <w:spacing w:before="1" w:line="244" w:lineRule="auto"/>
              <w:ind w:left="161" w:right="151" w:hanging="1"/>
              <w:jc w:val="center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Conductor Oficial de la Comunidad de Madrid con</w:t>
            </w:r>
          </w:p>
          <w:p w14:paraId="66732B92" w14:textId="77777777" w:rsidR="003C433E" w:rsidRPr="003C433E" w:rsidRDefault="003C433E" w:rsidP="003C433E">
            <w:pPr>
              <w:spacing w:line="205" w:lineRule="exact"/>
              <w:ind w:left="6"/>
              <w:jc w:val="center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Disponibilidad</w:t>
            </w:r>
          </w:p>
        </w:tc>
        <w:tc>
          <w:tcPr>
            <w:tcW w:w="1302" w:type="dxa"/>
          </w:tcPr>
          <w:p w14:paraId="6B5B6B09" w14:textId="77777777" w:rsidR="003C433E" w:rsidRPr="003C433E" w:rsidRDefault="003C433E" w:rsidP="003C433E">
            <w:pPr>
              <w:spacing w:before="4"/>
              <w:rPr>
                <w:rFonts w:ascii="ENAIRE Titillium Regular" w:eastAsia="Calibri" w:hAnsi="ENAIRE Titillium Regular" w:cs="Arial"/>
                <w:lang w:val="es-ES_tradnl"/>
              </w:rPr>
            </w:pPr>
          </w:p>
          <w:p w14:paraId="2D2620CC" w14:textId="77777777" w:rsidR="003C433E" w:rsidRPr="003C433E" w:rsidRDefault="003C433E" w:rsidP="003C433E">
            <w:pPr>
              <w:ind w:left="6"/>
              <w:jc w:val="center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2</w:t>
            </w:r>
          </w:p>
        </w:tc>
        <w:tc>
          <w:tcPr>
            <w:tcW w:w="2407" w:type="dxa"/>
          </w:tcPr>
          <w:p w14:paraId="2AC4F493" w14:textId="77777777" w:rsidR="003C433E" w:rsidRPr="003C433E" w:rsidRDefault="003C433E" w:rsidP="003C433E">
            <w:pPr>
              <w:spacing w:before="4"/>
              <w:ind w:right="140" w:hanging="288"/>
              <w:jc w:val="right"/>
              <w:rPr>
                <w:rFonts w:ascii="ENAIRE Titillium Regular" w:eastAsia="Calibri" w:hAnsi="ENAIRE Titillium Regular" w:cs="Arial"/>
                <w:lang w:val="es-ES_tradnl"/>
              </w:rPr>
            </w:pPr>
          </w:p>
          <w:p w14:paraId="60E7634C" w14:textId="77777777" w:rsidR="003C433E" w:rsidRPr="003C433E" w:rsidRDefault="003C433E" w:rsidP="003C433E">
            <w:pPr>
              <w:ind w:left="7" w:right="140" w:hanging="288"/>
              <w:jc w:val="right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€</w:t>
            </w:r>
          </w:p>
        </w:tc>
        <w:tc>
          <w:tcPr>
            <w:tcW w:w="2409" w:type="dxa"/>
          </w:tcPr>
          <w:p w14:paraId="27D947C8" w14:textId="77777777" w:rsidR="003C433E" w:rsidRPr="003C433E" w:rsidRDefault="003C433E" w:rsidP="003C433E">
            <w:pPr>
              <w:spacing w:before="4"/>
              <w:ind w:right="140" w:hanging="288"/>
              <w:jc w:val="right"/>
              <w:rPr>
                <w:rFonts w:ascii="ENAIRE Titillium Regular" w:eastAsia="Calibri" w:hAnsi="ENAIRE Titillium Regular" w:cs="Arial"/>
                <w:lang w:val="es-ES_tradnl"/>
              </w:rPr>
            </w:pPr>
          </w:p>
          <w:p w14:paraId="55A39015" w14:textId="77777777" w:rsidR="003C433E" w:rsidRPr="003C433E" w:rsidRDefault="003C433E" w:rsidP="003C433E">
            <w:pPr>
              <w:ind w:left="6" w:right="140" w:hanging="288"/>
              <w:jc w:val="right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€</w:t>
            </w:r>
          </w:p>
        </w:tc>
      </w:tr>
      <w:tr w:rsidR="003C433E" w:rsidRPr="003C433E" w14:paraId="55DC131B" w14:textId="77777777" w:rsidTr="0009004E">
        <w:trPr>
          <w:trHeight w:val="366"/>
        </w:trPr>
        <w:tc>
          <w:tcPr>
            <w:tcW w:w="4256" w:type="dxa"/>
            <w:gridSpan w:val="2"/>
            <w:tcBorders>
              <w:left w:val="nil"/>
              <w:bottom w:val="nil"/>
            </w:tcBorders>
          </w:tcPr>
          <w:p w14:paraId="4016EE29" w14:textId="77777777" w:rsidR="003C433E" w:rsidRPr="003C433E" w:rsidRDefault="003C433E" w:rsidP="003C433E">
            <w:pPr>
              <w:rPr>
                <w:rFonts w:ascii="ENAIRE Titillium Regular" w:eastAsia="Calibri" w:hAnsi="ENAIRE Titillium Regular" w:cs="Arial"/>
                <w:lang w:val="es-ES_tradnl"/>
              </w:rPr>
            </w:pPr>
          </w:p>
        </w:tc>
        <w:tc>
          <w:tcPr>
            <w:tcW w:w="2407" w:type="dxa"/>
          </w:tcPr>
          <w:p w14:paraId="4ABB72EF" w14:textId="77777777" w:rsidR="003C433E" w:rsidRPr="003C433E" w:rsidRDefault="003C433E" w:rsidP="003C433E">
            <w:pPr>
              <w:spacing w:before="1"/>
              <w:ind w:left="7"/>
              <w:jc w:val="center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TOTAL</w:t>
            </w:r>
          </w:p>
        </w:tc>
        <w:tc>
          <w:tcPr>
            <w:tcW w:w="2409" w:type="dxa"/>
          </w:tcPr>
          <w:p w14:paraId="14352513" w14:textId="77777777" w:rsidR="003C433E" w:rsidRPr="003C433E" w:rsidRDefault="003C433E" w:rsidP="003C433E">
            <w:pPr>
              <w:spacing w:before="1"/>
              <w:ind w:left="6" w:right="153" w:hanging="288"/>
              <w:jc w:val="right"/>
              <w:rPr>
                <w:rFonts w:ascii="ENAIRE Titillium Regular" w:eastAsia="Calibri" w:hAnsi="ENAIRE Titillium Regular" w:cs="Arial"/>
                <w:lang w:val="es-ES_tradnl"/>
              </w:rPr>
            </w:pPr>
            <w:r w:rsidRPr="003C433E">
              <w:rPr>
                <w:rFonts w:ascii="ENAIRE Titillium Regular" w:eastAsia="Calibri" w:hAnsi="ENAIRE Titillium Regular" w:cs="Arial"/>
                <w:lang w:val="es-ES_tradnl"/>
              </w:rPr>
              <w:t>€</w:t>
            </w:r>
          </w:p>
        </w:tc>
      </w:tr>
    </w:tbl>
    <w:p w14:paraId="76D5DE67" w14:textId="77777777" w:rsidR="003C433E" w:rsidRPr="003C433E" w:rsidRDefault="003C433E" w:rsidP="003C433E">
      <w:pPr>
        <w:widowControl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5C20F55" w14:textId="77777777" w:rsidR="003C433E" w:rsidRPr="003C433E" w:rsidRDefault="003C433E" w:rsidP="003C433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00D2D160" w14:textId="77777777" w:rsidR="003C433E" w:rsidRPr="003C433E" w:rsidRDefault="003C433E" w:rsidP="003C433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C433E">
        <w:rPr>
          <w:rFonts w:ascii="ENAIRE Titillium Regular" w:hAnsi="ENAIRE Titillium Regular"/>
          <w:sz w:val="22"/>
          <w:lang w:val="es-ES_tradnl"/>
        </w:rPr>
        <w:t xml:space="preserve">TERCERO: Que ofrece un porcentaje de baja a aplicar a todos y cada uno de los importes unitarios de la Partida </w:t>
      </w:r>
      <w:proofErr w:type="spellStart"/>
      <w:r w:rsidRPr="003C433E">
        <w:rPr>
          <w:rFonts w:ascii="ENAIRE Titillium Regular" w:hAnsi="ENAIRE Titillium Regular"/>
          <w:sz w:val="22"/>
          <w:lang w:val="es-ES_tradnl"/>
        </w:rPr>
        <w:t>nº</w:t>
      </w:r>
      <w:proofErr w:type="spellEnd"/>
      <w:r w:rsidRPr="003C433E">
        <w:rPr>
          <w:rFonts w:ascii="ENAIRE Titillium Regular" w:hAnsi="ENAIRE Titillium Regular"/>
          <w:sz w:val="22"/>
          <w:lang w:val="es-ES_tradnl"/>
        </w:rPr>
        <w:t xml:space="preserve"> 2 “Servicio Excepcional” del _________ %</w:t>
      </w:r>
    </w:p>
    <w:p w14:paraId="32B70AC5" w14:textId="77777777" w:rsidR="003C433E" w:rsidRPr="003C433E" w:rsidRDefault="003C433E" w:rsidP="003C433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3324F891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</w:pPr>
      <w:r w:rsidRPr="003C433E"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  <w:t>A efectos de comparación de ofertas el Importe Teórico Total de la oferta es el siguiente:</w:t>
      </w:r>
    </w:p>
    <w:p w14:paraId="2C609F37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</w:pPr>
    </w:p>
    <w:p w14:paraId="11C8DC95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</w:pPr>
      <w:r w:rsidRPr="003C433E"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  <w:t>Importe total anual de la Partida nº1 “Servicio de Presencia” + Importe total teórico de la Partida 2 “Servicio Excepcional”.</w:t>
      </w:r>
    </w:p>
    <w:p w14:paraId="61C308EC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</w:pPr>
    </w:p>
    <w:p w14:paraId="123A1E31" w14:textId="77777777" w:rsidR="003C433E" w:rsidRPr="003C433E" w:rsidRDefault="003C433E" w:rsidP="003C433E">
      <w:pPr>
        <w:widowControl/>
        <w:jc w:val="both"/>
        <w:rPr>
          <w:rFonts w:ascii="ENAIRE Titillium Regular" w:eastAsia="Calibri" w:hAnsi="ENAIRE Titillium Regular" w:cs="Arial"/>
          <w:b/>
          <w:bCs/>
          <w:snapToGrid/>
          <w:sz w:val="22"/>
          <w:szCs w:val="22"/>
          <w:lang w:val="es-ES_tradnl" w:eastAsia="en-US"/>
        </w:rPr>
      </w:pPr>
      <w:r w:rsidRPr="003C433E"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  <w:t>El importe total teórico de la Partida nº2 se calculará aplicando el porcentaje de baja ofertado al importe máximo de la partida (5.000,00 €).</w:t>
      </w:r>
    </w:p>
    <w:p w14:paraId="5AA4EE81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</w:pPr>
    </w:p>
    <w:p w14:paraId="045EA741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</w:pPr>
      <w:r w:rsidRPr="003C433E"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  <w:t>La Partida nº1 se adjudicará por el importe total anual ofertado y la Partida nº2 se adjudicará por el importe total del presupuesto (5.000,00 €), siendo contractual el porcentaje de baja ofertado.</w:t>
      </w:r>
    </w:p>
    <w:p w14:paraId="3E431AAA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</w:pPr>
    </w:p>
    <w:p w14:paraId="2F62D27C" w14:textId="77777777" w:rsidR="003C433E" w:rsidRPr="003C433E" w:rsidRDefault="003C433E" w:rsidP="003C433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C433E">
        <w:rPr>
          <w:rFonts w:ascii="ENAIRE Titillium Regular" w:hAnsi="ENAIRE Titillium Regular"/>
          <w:sz w:val="22"/>
          <w:lang w:val="es-ES_tradnl"/>
        </w:rPr>
        <w:t>CUARTO: Que conoce y acepta íntegramente los Pliegos de Cláusulas Particulares y Prescripciones Técnicas de este expediente, a los cuales se somete en todas sus partes y que son base para esta contratación.</w:t>
      </w:r>
    </w:p>
    <w:p w14:paraId="7D31BA02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</w:pPr>
    </w:p>
    <w:p w14:paraId="77B9CC32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</w:pPr>
    </w:p>
    <w:p w14:paraId="2DDB828A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snapToGrid/>
          <w:sz w:val="22"/>
          <w:szCs w:val="22"/>
          <w:lang w:val="es-ES_tradnl" w:eastAsia="en-US"/>
        </w:rPr>
      </w:pPr>
    </w:p>
    <w:p w14:paraId="592BC305" w14:textId="77777777" w:rsidR="003C433E" w:rsidRPr="003C433E" w:rsidRDefault="003C433E" w:rsidP="003C433E">
      <w:pPr>
        <w:widowControl/>
        <w:jc w:val="both"/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</w:pPr>
      <w:r w:rsidRPr="003C433E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(LUGAR, FECHA Y FIRMA DEL LICITADOR)</w:t>
      </w:r>
      <w:r w:rsidRPr="003C433E"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  <w:t xml:space="preserve">                                               </w:t>
      </w:r>
    </w:p>
    <w:p w14:paraId="7EE57D51" w14:textId="77777777" w:rsidR="003C433E" w:rsidRPr="003C433E" w:rsidRDefault="003C433E" w:rsidP="003C433E">
      <w:pPr>
        <w:widowControl/>
        <w:jc w:val="both"/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</w:pPr>
      <w:r w:rsidRPr="003C433E"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  <w:lastRenderedPageBreak/>
        <w:t xml:space="preserve">                                                                                                        </w:t>
      </w:r>
      <w:r w:rsidRPr="003C433E">
        <w:rPr>
          <w:rFonts w:ascii="ENAIRE Titillium Regular" w:eastAsia="Calibri" w:hAnsi="ENAIRE Titillium Regular" w:cs="Arial"/>
          <w:b/>
          <w:snapToGrid/>
          <w:sz w:val="22"/>
          <w:szCs w:val="22"/>
          <w:u w:val="single"/>
          <w:lang w:val="es-ES_tradnl" w:eastAsia="en-US"/>
        </w:rPr>
        <w:t xml:space="preserve">                                                                                                                </w:t>
      </w:r>
    </w:p>
    <w:p w14:paraId="450578D9" w14:textId="77777777" w:rsidR="003C433E" w:rsidRPr="003C433E" w:rsidRDefault="003C433E" w:rsidP="003C433E">
      <w:pPr>
        <w:widowControl/>
        <w:jc w:val="both"/>
        <w:rPr>
          <w:rFonts w:ascii="ENAIRE Titillium Light" w:eastAsia="Calibri" w:hAnsi="ENAIRE Titillium Light" w:cs="Arial"/>
          <w:snapToGrid/>
          <w:sz w:val="22"/>
          <w:szCs w:val="22"/>
          <w:lang w:val="es-ES_tradnl" w:eastAsia="en-US"/>
        </w:rPr>
      </w:pPr>
    </w:p>
    <w:p w14:paraId="7DF9F060" w14:textId="77777777" w:rsidR="003C433E" w:rsidRPr="003C433E" w:rsidRDefault="003C433E" w:rsidP="003C433E">
      <w:pPr>
        <w:widowControl/>
        <w:jc w:val="both"/>
        <w:rPr>
          <w:rFonts w:ascii="ENAIRE Titillium Light" w:eastAsia="Calibri" w:hAnsi="ENAIRE Titillium Light" w:cs="Arial"/>
          <w:snapToGrid/>
          <w:sz w:val="22"/>
          <w:szCs w:val="22"/>
          <w:lang w:val="es-ES_tradnl" w:eastAsia="en-US"/>
        </w:rPr>
      </w:pPr>
    </w:p>
    <w:p w14:paraId="78878104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b/>
          <w:snapToGrid/>
          <w:sz w:val="22"/>
          <w:szCs w:val="22"/>
          <w:lang w:val="es-ES_tradnl" w:eastAsia="en-US"/>
        </w:rPr>
      </w:pPr>
      <w:r w:rsidRPr="003C433E">
        <w:rPr>
          <w:rFonts w:ascii="ENAIRE Titillium Bold" w:eastAsia="Calibri" w:hAnsi="ENAIRE Titillium Bold" w:cs="Arial"/>
          <w:b/>
          <w:snapToGrid/>
          <w:sz w:val="22"/>
          <w:szCs w:val="22"/>
          <w:lang w:val="es-ES_tradnl" w:eastAsia="en-U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016D7742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b/>
          <w:snapToGrid/>
          <w:sz w:val="22"/>
          <w:szCs w:val="22"/>
          <w:lang w:val="es-ES_tradnl" w:eastAsia="en-US"/>
        </w:rPr>
      </w:pPr>
    </w:p>
    <w:p w14:paraId="5F84DBBE" w14:textId="77777777" w:rsidR="003C433E" w:rsidRPr="003C433E" w:rsidRDefault="003C433E" w:rsidP="003C433E">
      <w:pPr>
        <w:widowControl/>
        <w:jc w:val="both"/>
        <w:rPr>
          <w:rFonts w:ascii="ENAIRE Titillium Bold" w:eastAsia="Calibri" w:hAnsi="ENAIRE Titillium Bold" w:cs="Arial"/>
          <w:b/>
          <w:snapToGrid/>
          <w:sz w:val="22"/>
          <w:szCs w:val="22"/>
          <w:lang w:val="es-ES_tradnl" w:eastAsia="en-US"/>
        </w:rPr>
      </w:pPr>
      <w:r w:rsidRPr="003C433E">
        <w:rPr>
          <w:rFonts w:ascii="ENAIRE Titillium Bold" w:eastAsia="Calibri" w:hAnsi="ENAIRE Titillium Bold" w:cs="Arial"/>
          <w:b/>
          <w:snapToGrid/>
          <w:sz w:val="22"/>
          <w:szCs w:val="22"/>
          <w:lang w:val="es-ES_tradnl" w:eastAsia="en-US"/>
        </w:rPr>
        <w:t>Igualmente serán rechazadas aquellas proposiciones cuyo importe supere el presupuesto base de licitación.</w:t>
      </w:r>
    </w:p>
    <w:p w14:paraId="5ABE2A92" w14:textId="7A68D59E" w:rsidR="00DE5030" w:rsidRPr="00EB4147" w:rsidRDefault="00DE5030" w:rsidP="003C433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sectPr w:rsidR="00DE5030" w:rsidRPr="00EB4147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29AA7" w14:textId="77777777" w:rsidR="008155BF" w:rsidRDefault="008155BF" w:rsidP="00DE5030">
      <w:r>
        <w:separator/>
      </w:r>
    </w:p>
  </w:endnote>
  <w:endnote w:type="continuationSeparator" w:id="0">
    <w:p w14:paraId="175909EA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3FCBA" w14:textId="77777777" w:rsidR="008155BF" w:rsidRDefault="008155BF" w:rsidP="00DE5030">
      <w:r>
        <w:separator/>
      </w:r>
    </w:p>
  </w:footnote>
  <w:footnote w:type="continuationSeparator" w:id="0">
    <w:p w14:paraId="32EA62C1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9DA55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99CD97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7F70E41B" w14:textId="77777777" w:rsidR="00B741C1" w:rsidRPr="00495482" w:rsidRDefault="00B741C1" w:rsidP="00DE5030">
    <w:pPr>
      <w:ind w:left="5040"/>
      <w:rPr>
        <w:rFonts w:ascii="Arial" w:hAnsi="Arial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>
      <w:rPr>
        <w:rFonts w:ascii="Arial" w:hAnsi="Arial" w:cs="Arial"/>
        <w:b/>
        <w:sz w:val="22"/>
        <w:szCs w:val="22"/>
        <w:lang w:val="es-ES_tradnl"/>
      </w:rPr>
      <w:t>DNA --/---</w:t>
    </w:r>
  </w:p>
  <w:p w14:paraId="28EBE03D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doNotTrackMoves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030"/>
    <w:rsid w:val="00036CA7"/>
    <w:rsid w:val="00107004"/>
    <w:rsid w:val="003B224C"/>
    <w:rsid w:val="003C433E"/>
    <w:rsid w:val="00487BCF"/>
    <w:rsid w:val="00493FA8"/>
    <w:rsid w:val="004B6850"/>
    <w:rsid w:val="004D664A"/>
    <w:rsid w:val="005026FF"/>
    <w:rsid w:val="0050293D"/>
    <w:rsid w:val="00582EF7"/>
    <w:rsid w:val="0064634A"/>
    <w:rsid w:val="00667C22"/>
    <w:rsid w:val="006D457C"/>
    <w:rsid w:val="00701AC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C9419F"/>
    <w:rsid w:val="00CA6C9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4684C66"/>
  <w15:chartTrackingRefBased/>
  <w15:docId w15:val="{6A23F875-EF0C-462C-AF21-BB42B98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table" w:customStyle="1" w:styleId="TableNormal">
    <w:name w:val="Table Normal"/>
    <w:uiPriority w:val="2"/>
    <w:semiHidden/>
    <w:unhideWhenUsed/>
    <w:qFormat/>
    <w:rsid w:val="003C433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CB4D5E02-8FCE-4E40-ACC9-D63EDEE348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E03057-2769-4740-94A2-39E13C097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9E709A-9CEB-4162-B9BE-B1DC701B53D3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4</cp:revision>
  <dcterms:created xsi:type="dcterms:W3CDTF">2022-02-24T13:09:00Z</dcterms:created>
  <dcterms:modified xsi:type="dcterms:W3CDTF">2024-09-10T11:36:00Z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3115000</vt:r8>
  </property>
  <property fmtid="{D5CDD505-2E9C-101B-9397-08002B2CF9AE}" pid="4" name="MediaServiceImageTags">
    <vt:lpwstr/>
  </property>
</Properties>
</file>