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B30C" w14:textId="79E1B065" w:rsidR="00F85CF8" w:rsidRPr="003B5570" w:rsidRDefault="00F85CF8" w:rsidP="00F85CF8">
      <w:pPr>
        <w:pStyle w:val="Textoindependiente2"/>
        <w:rPr>
          <w:sz w:val="20"/>
          <w:lang w:val="es-ES"/>
        </w:rPr>
      </w:pPr>
      <w:bookmarkStart w:id="0" w:name="_Toc101266772"/>
      <w:bookmarkStart w:id="1" w:name="_Toc101267111"/>
      <w:bookmarkStart w:id="2" w:name="_Toc101267448"/>
      <w:bookmarkStart w:id="3" w:name="_Toc101267786"/>
      <w:bookmarkStart w:id="4" w:name="_Toc101268124"/>
      <w:bookmarkStart w:id="5" w:name="_Toc101268462"/>
      <w:bookmarkStart w:id="6" w:name="_Toc101268798"/>
      <w:bookmarkStart w:id="7" w:name="_Toc103242248"/>
      <w:bookmarkStart w:id="8" w:name="_Toc103242584"/>
      <w:bookmarkStart w:id="9" w:name="_GoBack"/>
      <w:bookmarkEnd w:id="9"/>
    </w:p>
    <w:p w14:paraId="58971611" w14:textId="321ABB4D" w:rsidR="008B62BD" w:rsidRPr="003B5570" w:rsidRDefault="008B62BD" w:rsidP="008B62BD">
      <w:pPr>
        <w:pStyle w:val="NIVEL1"/>
        <w:rPr>
          <w:sz w:val="20"/>
          <w:lang w:val="es-ES"/>
        </w:rPr>
      </w:pPr>
      <w:r w:rsidRPr="003B5570">
        <w:rPr>
          <w:sz w:val="20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B5570">
        <w:rPr>
          <w:sz w:val="20"/>
          <w:lang w:val="es-ES"/>
        </w:rPr>
        <w:t xml:space="preserve"> </w:t>
      </w:r>
    </w:p>
    <w:p w14:paraId="4FC2AD7A" w14:textId="3C3D7E79" w:rsidR="005237C5" w:rsidRPr="00967522" w:rsidRDefault="005237C5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D./Dña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7A85F756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006E8C2B" w14:textId="77777777" w:rsidR="005237C5" w:rsidRPr="00967522" w:rsidRDefault="005237C5" w:rsidP="00F951CA">
      <w:pPr>
        <w:numPr>
          <w:ilvl w:val="0"/>
          <w:numId w:val="3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2C03ECB8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D9D10EF" w14:textId="77777777" w:rsidR="005237C5" w:rsidRPr="00D56757" w:rsidRDefault="005237C5" w:rsidP="00F951CA">
      <w:pPr>
        <w:numPr>
          <w:ilvl w:val="0"/>
          <w:numId w:val="3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7D9F67BE" w14:textId="77777777" w:rsidR="005237C5" w:rsidRPr="00967522" w:rsidRDefault="005237C5" w:rsidP="005237C5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75BCE15" w14:textId="77777777" w:rsidR="005237C5" w:rsidRPr="00D56757" w:rsidRDefault="005237C5" w:rsidP="00F951CA">
      <w:pPr>
        <w:numPr>
          <w:ilvl w:val="0"/>
          <w:numId w:val="3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47FDECFF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379C5A8" w14:textId="77777777" w:rsidR="005237C5" w:rsidRPr="00967522" w:rsidRDefault="005237C5" w:rsidP="00F951CA">
      <w:pPr>
        <w:numPr>
          <w:ilvl w:val="0"/>
          <w:numId w:val="3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21A0A1C3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A6A86B0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3BDE767" w14:textId="006182BA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Cumple con los requisitos exigidos de solvencia especificados en este Pliego</w:t>
      </w:r>
      <w:r w:rsidR="00BD6714"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  <w:r w:rsidRPr="005237C5">
        <w:rPr>
          <w:rFonts w:ascii="ENAIRE Titillium Regular" w:hAnsi="ENAIRE Titillium Regular" w:cs="ENAIRE Titillium Regular"/>
          <w:color w:val="FF0000"/>
          <w:sz w:val="20"/>
          <w:lang w:val="es-ES"/>
        </w:rPr>
        <w:t xml:space="preserve"> </w:t>
      </w:r>
    </w:p>
    <w:p w14:paraId="37632F9D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32661AA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27DA97A" w14:textId="77777777" w:rsidR="005237C5" w:rsidRPr="00967522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49DB6464" w14:textId="77777777" w:rsidR="005237C5" w:rsidRPr="00967522" w:rsidRDefault="005237C5" w:rsidP="00F951CA">
      <w:pPr>
        <w:numPr>
          <w:ilvl w:val="0"/>
          <w:numId w:val="2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00A73D94" w14:textId="77777777" w:rsidR="005237C5" w:rsidRPr="00967522" w:rsidRDefault="005237C5" w:rsidP="00F951CA">
      <w:pPr>
        <w:numPr>
          <w:ilvl w:val="0"/>
          <w:numId w:val="2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AF203CD" w14:textId="77777777" w:rsidR="005237C5" w:rsidRPr="00967522" w:rsidRDefault="005237C5" w:rsidP="00F951CA">
      <w:pPr>
        <w:numPr>
          <w:ilvl w:val="0"/>
          <w:numId w:val="2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21888952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0E08D676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lastRenderedPageBreak/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04182987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Plan de igualdad</w:t>
      </w:r>
    </w:p>
    <w:p w14:paraId="2DFDC1CD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B009592" w14:textId="77777777" w:rsidR="005237C5" w:rsidRPr="00967522" w:rsidRDefault="005237C5" w:rsidP="00F951CA">
      <w:pPr>
        <w:numPr>
          <w:ilvl w:val="0"/>
          <w:numId w:val="2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6076FE28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50012D5B" w14:textId="77777777" w:rsidR="005237C5" w:rsidRPr="00967522" w:rsidRDefault="005237C5" w:rsidP="00F951CA">
      <w:pPr>
        <w:numPr>
          <w:ilvl w:val="0"/>
          <w:numId w:val="2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5835DA51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5054299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55D8B402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757E950D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4291C3F" w14:textId="77777777" w:rsidR="005237C5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082D4E91" w14:textId="77777777" w:rsidR="005237C5" w:rsidRPr="00AE6BF0" w:rsidRDefault="005237C5" w:rsidP="00F951CA">
      <w:pPr>
        <w:keepNext/>
        <w:numPr>
          <w:ilvl w:val="1"/>
          <w:numId w:val="37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4D2BD48F" w14:textId="77777777" w:rsidR="005237C5" w:rsidRPr="005237C5" w:rsidRDefault="005237C5" w:rsidP="005237C5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25866185" w14:textId="77777777" w:rsidR="005237C5" w:rsidRPr="009B6524" w:rsidRDefault="005237C5" w:rsidP="005237C5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F57F08D" w14:textId="77777777" w:rsidR="005237C5" w:rsidRPr="00AE6BF0" w:rsidRDefault="005237C5" w:rsidP="00F951CA">
      <w:pPr>
        <w:pStyle w:val="Prrafodelista"/>
        <w:numPr>
          <w:ilvl w:val="1"/>
          <w:numId w:val="37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5BB424C4" w14:textId="77777777" w:rsidR="005237C5" w:rsidRPr="00AE6BF0" w:rsidRDefault="005237C5" w:rsidP="005237C5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8F36159" w14:textId="77777777" w:rsidR="005237C5" w:rsidRPr="00AE6BF0" w:rsidRDefault="005237C5" w:rsidP="005237C5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1BEA6DA0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0B7C41E2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38F83BC4" w14:textId="77777777" w:rsidR="005237C5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6199EAE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3FE92FD6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6FDCE82D" w14:textId="77777777" w:rsidR="005237C5" w:rsidRPr="00967522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lastRenderedPageBreak/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8C3F279" w14:textId="77777777" w:rsidR="005237C5" w:rsidRPr="00967522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</w:p>
    <w:p w14:paraId="6039C3A1" w14:textId="77777777" w:rsidR="005237C5" w:rsidRPr="00BD6714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BD6714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2312CFC2" w14:textId="77777777" w:rsidR="005237C5" w:rsidRPr="00BD6714" w:rsidRDefault="005237C5" w:rsidP="005237C5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BD6714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BD6714">
        <w:rPr>
          <w:rFonts w:ascii="ENAIRE Titillium Regular" w:hAnsi="ENAIRE Titillium Regular" w:cs="Arial"/>
          <w:lang w:val="es-ES_tradnl"/>
        </w:rPr>
        <w:t xml:space="preserve">. </w:t>
      </w:r>
    </w:p>
    <w:p w14:paraId="23B8F7E8" w14:textId="77777777" w:rsidR="005237C5" w:rsidRPr="00BD6714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BD6714">
        <w:rPr>
          <w:rFonts w:ascii="Courier New" w:hAnsi="Courier New" w:cs="Courier New"/>
          <w:b/>
          <w:snapToGrid w:val="0"/>
          <w:sz w:val="20"/>
        </w:rPr>
        <w:t>□</w:t>
      </w:r>
      <w:r w:rsidRPr="00BD6714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BD6714">
        <w:rPr>
          <w:rFonts w:ascii="Courier New" w:hAnsi="Courier New" w:cs="Courier New"/>
          <w:b/>
          <w:snapToGrid w:val="0"/>
          <w:sz w:val="20"/>
        </w:rPr>
        <w:t>□</w:t>
      </w:r>
      <w:r w:rsidRPr="00BD6714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BD6714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0B3C20" w14:textId="77777777" w:rsidR="005237C5" w:rsidRPr="00967522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6C0E5DFB" w14:textId="77777777" w:rsidR="005237C5" w:rsidRPr="005237C5" w:rsidRDefault="005237C5" w:rsidP="005237C5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E385586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235F2E2" w14:textId="77777777" w:rsidR="005237C5" w:rsidRPr="00AC4256" w:rsidRDefault="005237C5" w:rsidP="00F951CA">
      <w:pPr>
        <w:keepNext/>
        <w:numPr>
          <w:ilvl w:val="0"/>
          <w:numId w:val="2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7AB3B605" w14:textId="77777777" w:rsidR="005237C5" w:rsidRPr="00BD6714" w:rsidRDefault="005237C5" w:rsidP="005237C5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BD6714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BD6714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5B5AC990" w14:textId="77777777" w:rsidR="005237C5" w:rsidRPr="00BD6714" w:rsidRDefault="005237C5" w:rsidP="00F951CA">
      <w:pPr>
        <w:widowControl w:val="0"/>
        <w:numPr>
          <w:ilvl w:val="0"/>
          <w:numId w:val="25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BD6714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44F37AF2" w14:textId="77777777" w:rsidR="005237C5" w:rsidRPr="00BD6714" w:rsidRDefault="005237C5" w:rsidP="00F951CA">
      <w:pPr>
        <w:widowControl w:val="0"/>
        <w:numPr>
          <w:ilvl w:val="0"/>
          <w:numId w:val="25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BD6714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4BC06364" w14:textId="77777777" w:rsidR="005237C5" w:rsidRPr="00BD6714" w:rsidRDefault="005237C5" w:rsidP="005237C5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2EB1C620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BD6714">
        <w:rPr>
          <w:rFonts w:ascii="ENAIRE Titillium Regular" w:hAnsi="ENAIRE Titillium Regular" w:cs="ENAIRE Titillium Regular"/>
          <w:color w:val="000000"/>
          <w:sz w:val="20"/>
          <w:lang w:val="es-ES"/>
        </w:rPr>
        <w:t>En esta dirección se realizarán todas las notificaciones relativas a este procedimiento de contratación. Su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 inclusión implica el reconocimiento de que dicha dirección electrónica está bajo control del interesado, y que éste acepta que las comunicaciones le sean remitidas a la dirección electrónica aquí indicada. </w:t>
      </w:r>
    </w:p>
    <w:p w14:paraId="6F7513EA" w14:textId="77777777" w:rsidR="00BD6714" w:rsidRDefault="00BD6714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</w:p>
    <w:p w14:paraId="2C12F90B" w14:textId="67061589" w:rsidR="008B62BD" w:rsidRPr="003B5570" w:rsidRDefault="008B62BD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 xml:space="preserve">En………………..….., a ….. de ................................. de .......... </w:t>
      </w:r>
    </w:p>
    <w:p w14:paraId="6EE8F356" w14:textId="77777777" w:rsidR="008B62BD" w:rsidRPr="003B5570" w:rsidRDefault="008B62BD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79CC09FF" w14:textId="77777777" w:rsidR="008B62BD" w:rsidRDefault="008B62BD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3B8E522D" w14:textId="77777777" w:rsidR="00BD6714" w:rsidRDefault="00BD6714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5DD3D40E" w14:textId="77777777" w:rsidR="00BD6714" w:rsidRDefault="00BD6714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23A8813C" w14:textId="5DF3676E" w:rsidR="008B62BD" w:rsidRPr="003B5570" w:rsidRDefault="008B62BD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739A8021" w14:textId="25976A68" w:rsidR="00E12715" w:rsidRDefault="008B62BD" w:rsidP="00F85CF8">
      <w:pPr>
        <w:ind w:right="-496"/>
        <w:jc w:val="both"/>
        <w:rPr>
          <w:rFonts w:ascii="Courier" w:eastAsia="Times New Roman" w:hAnsi="Courier" w:cs="Calibri"/>
          <w:i/>
          <w:iCs/>
          <w:snapToGrid w:val="0"/>
          <w:sz w:val="20"/>
          <w:szCs w:val="20"/>
          <w:lang w:val="es-ES" w:eastAsia="es-ES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8DC6CC6" w14:textId="634DC911" w:rsidR="008B62BD" w:rsidRPr="002820D0" w:rsidRDefault="008B62BD" w:rsidP="00BD6714">
      <w:pPr>
        <w:rPr>
          <w:rFonts w:ascii="ENAIRE Titillium Bold" w:hAnsi="ENAIRE Titillium Bold"/>
          <w:lang w:val="es-ES"/>
        </w:rPr>
      </w:pPr>
    </w:p>
    <w:sectPr w:rsidR="008B62BD" w:rsidRPr="002820D0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AB93" w14:textId="5DF4D3A6" w:rsidR="00311843" w:rsidRDefault="00AF7D31" w:rsidP="00311843">
    <w:pPr>
      <w:pStyle w:val="Piedepgina"/>
      <w:jc w:val="center"/>
    </w:pPr>
    <w:r w:rsidRPr="00A566C0">
      <w:rPr>
        <w:rFonts w:ascii="ENAIRE Titillium Regular" w:hAnsi="ENAIRE Titillium Regular"/>
        <w:noProof/>
        <w:sz w:val="20"/>
        <w:lang w:val="es-ES"/>
      </w:rPr>
      <w:drawing>
        <wp:anchor distT="0" distB="0" distL="114300" distR="114300" simplePos="0" relativeHeight="251662355" behindDoc="1" locked="0" layoutInCell="1" allowOverlap="1" wp14:anchorId="2984C6AC" wp14:editId="63BD05A1">
          <wp:simplePos x="0" y="0"/>
          <wp:positionH relativeFrom="column">
            <wp:posOffset>4577715</wp:posOffset>
          </wp:positionH>
          <wp:positionV relativeFrom="paragraph">
            <wp:posOffset>-1381125</wp:posOffset>
          </wp:positionV>
          <wp:extent cx="1688980" cy="155275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980" cy="1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1843">
      <w:fldChar w:fldCharType="begin"/>
    </w:r>
    <w:r w:rsidR="00311843">
      <w:instrText xml:space="preserve"> PAGE   \* MERGEFORMAT </w:instrText>
    </w:r>
    <w:r w:rsidR="00311843">
      <w:fldChar w:fldCharType="separate"/>
    </w:r>
    <w:r w:rsidR="00F85CF8">
      <w:rPr>
        <w:noProof/>
      </w:rPr>
      <w:t>- 2 -</w:t>
    </w:r>
    <w:r w:rsidR="00311843">
      <w:fldChar w:fldCharType="end"/>
    </w:r>
  </w:p>
  <w:p w14:paraId="12B90258" w14:textId="7406F8C5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BAC 185/2022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A2DB3"/>
    <w:multiLevelType w:val="hybridMultilevel"/>
    <w:tmpl w:val="BC6608B0"/>
    <w:lvl w:ilvl="0" w:tplc="008E9B64">
      <w:start w:val="1"/>
      <w:numFmt w:val="decimal"/>
      <w:lvlText w:val="%1."/>
      <w:lvlJc w:val="left"/>
      <w:pPr>
        <w:ind w:left="720" w:hanging="360"/>
      </w:pPr>
      <w:rPr>
        <w:rFonts w:ascii="ENAIRE Titillium Regular" w:hAnsi="ENAIRE Titillium Regular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0C0A0017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C0A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21D64"/>
    <w:multiLevelType w:val="hybridMultilevel"/>
    <w:tmpl w:val="D86C6908"/>
    <w:lvl w:ilvl="0" w:tplc="300C9188">
      <w:start w:val="1"/>
      <w:numFmt w:val="lowerLetter"/>
      <w:pStyle w:val="ENListaCaracter1"/>
      <w:lvlText w:val="%1)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26528E"/>
    <w:multiLevelType w:val="hybridMultilevel"/>
    <w:tmpl w:val="8D9AD68C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9FDA"/>
        <w:sz w:val="32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1B75"/>
    <w:multiLevelType w:val="hybridMultilevel"/>
    <w:tmpl w:val="36FCAB98"/>
    <w:lvl w:ilvl="0" w:tplc="920EBAC2">
      <w:start w:val="1"/>
      <w:numFmt w:val="bullet"/>
      <w:pStyle w:val="ENLista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>
      <w:start w:val="1"/>
      <w:numFmt w:val="bullet"/>
      <w:pStyle w:val="ENList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2"/>
      <w:numFmt w:val="bullet"/>
      <w:pStyle w:val="ENLista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A1774"/>
    <w:multiLevelType w:val="hybridMultilevel"/>
    <w:tmpl w:val="D076F578"/>
    <w:lvl w:ilvl="0" w:tplc="D3281C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20"/>
        <w:vertAlign w:val="baseline"/>
      </w:rPr>
    </w:lvl>
    <w:lvl w:ilvl="1" w:tplc="C52CE2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4E0FBE"/>
    <w:multiLevelType w:val="hybridMultilevel"/>
    <w:tmpl w:val="390AB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734A8"/>
    <w:multiLevelType w:val="hybridMultilevel"/>
    <w:tmpl w:val="7ECE2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803AE8"/>
    <w:multiLevelType w:val="hybridMultilevel"/>
    <w:tmpl w:val="46EE6B3A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16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066E1"/>
    <w:multiLevelType w:val="multilevel"/>
    <w:tmpl w:val="ED92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92F76"/>
    <w:multiLevelType w:val="hybridMultilevel"/>
    <w:tmpl w:val="E0E2C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5D29"/>
    <w:multiLevelType w:val="hybridMultilevel"/>
    <w:tmpl w:val="54EEBC18"/>
    <w:lvl w:ilvl="0" w:tplc="67C20678">
      <w:start w:val="1"/>
      <w:numFmt w:val="lowerLetter"/>
      <w:lvlText w:val="%1)"/>
      <w:lvlJc w:val="left"/>
      <w:pPr>
        <w:ind w:left="720" w:hanging="360"/>
      </w:pPr>
    </w:lvl>
    <w:lvl w:ilvl="1" w:tplc="AE0A3B86">
      <w:start w:val="1"/>
      <w:numFmt w:val="lowerLetter"/>
      <w:lvlText w:val="%2."/>
      <w:lvlJc w:val="left"/>
      <w:pPr>
        <w:ind w:left="1440" w:hanging="360"/>
      </w:pPr>
    </w:lvl>
    <w:lvl w:ilvl="2" w:tplc="12EA12E4">
      <w:start w:val="1"/>
      <w:numFmt w:val="lowerRoman"/>
      <w:lvlText w:val="%3."/>
      <w:lvlJc w:val="right"/>
      <w:pPr>
        <w:ind w:left="2160" w:hanging="180"/>
      </w:pPr>
    </w:lvl>
    <w:lvl w:ilvl="3" w:tplc="FE4A2668">
      <w:start w:val="1"/>
      <w:numFmt w:val="decimal"/>
      <w:lvlText w:val="%4."/>
      <w:lvlJc w:val="left"/>
      <w:pPr>
        <w:ind w:left="2880" w:hanging="360"/>
      </w:pPr>
    </w:lvl>
    <w:lvl w:ilvl="4" w:tplc="E8E67670">
      <w:start w:val="1"/>
      <w:numFmt w:val="lowerLetter"/>
      <w:lvlText w:val="%5."/>
      <w:lvlJc w:val="left"/>
      <w:pPr>
        <w:ind w:left="3600" w:hanging="360"/>
      </w:pPr>
    </w:lvl>
    <w:lvl w:ilvl="5" w:tplc="0316C4D4">
      <w:start w:val="1"/>
      <w:numFmt w:val="lowerRoman"/>
      <w:lvlText w:val="%6."/>
      <w:lvlJc w:val="right"/>
      <w:pPr>
        <w:ind w:left="4320" w:hanging="180"/>
      </w:pPr>
    </w:lvl>
    <w:lvl w:ilvl="6" w:tplc="6C7C3F94">
      <w:start w:val="1"/>
      <w:numFmt w:val="decimal"/>
      <w:lvlText w:val="%7."/>
      <w:lvlJc w:val="left"/>
      <w:pPr>
        <w:ind w:left="5040" w:hanging="360"/>
      </w:pPr>
    </w:lvl>
    <w:lvl w:ilvl="7" w:tplc="6900B984">
      <w:start w:val="1"/>
      <w:numFmt w:val="lowerLetter"/>
      <w:lvlText w:val="%8."/>
      <w:lvlJc w:val="left"/>
      <w:pPr>
        <w:ind w:left="5760" w:hanging="360"/>
      </w:pPr>
    </w:lvl>
    <w:lvl w:ilvl="8" w:tplc="A5624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3814DF"/>
    <w:multiLevelType w:val="multilevel"/>
    <w:tmpl w:val="CB725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6"/>
  </w:num>
  <w:num w:numId="3">
    <w:abstractNumId w:val="52"/>
  </w:num>
  <w:num w:numId="4">
    <w:abstractNumId w:val="35"/>
  </w:num>
  <w:num w:numId="5">
    <w:abstractNumId w:val="11"/>
  </w:num>
  <w:num w:numId="6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0"/>
  </w:num>
  <w:num w:numId="9">
    <w:abstractNumId w:val="46"/>
  </w:num>
  <w:num w:numId="10">
    <w:abstractNumId w:val="41"/>
  </w:num>
  <w:num w:numId="11">
    <w:abstractNumId w:val="48"/>
  </w:num>
  <w:num w:numId="12">
    <w:abstractNumId w:val="6"/>
  </w:num>
  <w:num w:numId="13">
    <w:abstractNumId w:val="39"/>
  </w:num>
  <w:num w:numId="14">
    <w:abstractNumId w:val="47"/>
  </w:num>
  <w:num w:numId="15">
    <w:abstractNumId w:val="49"/>
  </w:num>
  <w:num w:numId="16">
    <w:abstractNumId w:val="13"/>
  </w:num>
  <w:num w:numId="17">
    <w:abstractNumId w:val="20"/>
  </w:num>
  <w:num w:numId="18">
    <w:abstractNumId w:val="33"/>
  </w:num>
  <w:num w:numId="19">
    <w:abstractNumId w:val="40"/>
  </w:num>
  <w:num w:numId="20">
    <w:abstractNumId w:val="50"/>
  </w:num>
  <w:num w:numId="21">
    <w:abstractNumId w:val="1"/>
  </w:num>
  <w:num w:numId="22">
    <w:abstractNumId w:val="14"/>
  </w:num>
  <w:num w:numId="23">
    <w:abstractNumId w:val="25"/>
  </w:num>
  <w:num w:numId="24">
    <w:abstractNumId w:val="23"/>
  </w:num>
  <w:num w:numId="25">
    <w:abstractNumId w:val="30"/>
  </w:num>
  <w:num w:numId="26">
    <w:abstractNumId w:val="34"/>
  </w:num>
  <w:num w:numId="27">
    <w:abstractNumId w:val="28"/>
  </w:num>
  <w:num w:numId="28">
    <w:abstractNumId w:val="43"/>
  </w:num>
  <w:num w:numId="29">
    <w:abstractNumId w:val="3"/>
  </w:num>
  <w:num w:numId="30">
    <w:abstractNumId w:val="4"/>
  </w:num>
  <w:num w:numId="31">
    <w:abstractNumId w:val="37"/>
  </w:num>
  <w:num w:numId="32">
    <w:abstractNumId w:val="42"/>
  </w:num>
  <w:num w:numId="33">
    <w:abstractNumId w:val="44"/>
  </w:num>
  <w:num w:numId="34">
    <w:abstractNumId w:val="5"/>
  </w:num>
  <w:num w:numId="35">
    <w:abstractNumId w:val="45"/>
  </w:num>
  <w:num w:numId="36">
    <w:abstractNumId w:val="36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2"/>
  </w:num>
  <w:num w:numId="42">
    <w:abstractNumId w:val="51"/>
  </w:num>
  <w:num w:numId="43">
    <w:abstractNumId w:val="9"/>
  </w:num>
  <w:num w:numId="44">
    <w:abstractNumId w:val="29"/>
  </w:num>
  <w:num w:numId="45">
    <w:abstractNumId w:val="17"/>
  </w:num>
  <w:num w:numId="46">
    <w:abstractNumId w:val="21"/>
  </w:num>
  <w:num w:numId="47">
    <w:abstractNumId w:val="7"/>
  </w:num>
  <w:num w:numId="48">
    <w:abstractNumId w:val="16"/>
  </w:num>
  <w:num w:numId="49">
    <w:abstractNumId w:val="18"/>
  </w:num>
  <w:num w:numId="50">
    <w:abstractNumId w:val="19"/>
  </w:num>
  <w:num w:numId="51">
    <w:abstractNumId w:val="32"/>
  </w:num>
  <w:num w:numId="52">
    <w:abstractNumId w:val="27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8FD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0534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6B3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803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3887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331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2DE2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6AC2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20D0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74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4F2F"/>
    <w:rsid w:val="003B537A"/>
    <w:rsid w:val="003B6FA6"/>
    <w:rsid w:val="003B72AD"/>
    <w:rsid w:val="003B7CDD"/>
    <w:rsid w:val="003B7F69"/>
    <w:rsid w:val="003C0609"/>
    <w:rsid w:val="003C0B62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8E4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97F32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0430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27BA9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F69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7F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38F9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3423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91A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5FB6"/>
    <w:rsid w:val="00756166"/>
    <w:rsid w:val="00757E1F"/>
    <w:rsid w:val="00760FF5"/>
    <w:rsid w:val="00763BCB"/>
    <w:rsid w:val="00765AE6"/>
    <w:rsid w:val="00767EB8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92A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C7647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95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480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2172"/>
    <w:rsid w:val="00844CCF"/>
    <w:rsid w:val="00844D4D"/>
    <w:rsid w:val="0084524C"/>
    <w:rsid w:val="0084651B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280C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3812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0F9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1A2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45FF"/>
    <w:rsid w:val="00AF57BB"/>
    <w:rsid w:val="00AF5CD1"/>
    <w:rsid w:val="00AF6BB2"/>
    <w:rsid w:val="00AF7D31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25118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2FE3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49C6"/>
    <w:rsid w:val="00BA54B4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1EA"/>
    <w:rsid w:val="00BD43D0"/>
    <w:rsid w:val="00BD4BD1"/>
    <w:rsid w:val="00BD6714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303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5445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0521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0B6C"/>
    <w:rsid w:val="00D41179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91B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5A23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36C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3C1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EF7F1C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DA3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A32"/>
    <w:rsid w:val="00F64CC4"/>
    <w:rsid w:val="00F656D0"/>
    <w:rsid w:val="00F65958"/>
    <w:rsid w:val="00F71144"/>
    <w:rsid w:val="00F724B1"/>
    <w:rsid w:val="00F72A3D"/>
    <w:rsid w:val="00F738AA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F8"/>
    <w:rsid w:val="00F8678D"/>
    <w:rsid w:val="00F8698E"/>
    <w:rsid w:val="00F912F9"/>
    <w:rsid w:val="00F91A01"/>
    <w:rsid w:val="00F951CA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20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customStyle="1" w:styleId="ENListaCaracter1">
    <w:name w:val="EN_Lista_Caracter_1"/>
    <w:basedOn w:val="Normal"/>
    <w:link w:val="ENListaCaracter1Car"/>
    <w:qFormat/>
    <w:rsid w:val="0084651B"/>
    <w:pPr>
      <w:numPr>
        <w:numId w:val="40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Caracter1Car">
    <w:name w:val="EN_Lista_Caracter_1 Car"/>
    <w:basedOn w:val="Fuentedeprrafopredeter"/>
    <w:link w:val="ENListaCaracter1"/>
    <w:rsid w:val="0084651B"/>
    <w:rPr>
      <w:rFonts w:ascii="ENAIRE Titillium Regular" w:hAnsi="ENAIRE Titillium Regular"/>
    </w:rPr>
  </w:style>
  <w:style w:type="paragraph" w:customStyle="1" w:styleId="ENLista1">
    <w:name w:val="EN_Lista_1"/>
    <w:basedOn w:val="Normal"/>
    <w:next w:val="Normal"/>
    <w:link w:val="ENLista1Car"/>
    <w:qFormat/>
    <w:rsid w:val="00F951CA"/>
    <w:pPr>
      <w:numPr>
        <w:numId w:val="48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1Car">
    <w:name w:val="EN_Lista_1 Car"/>
    <w:basedOn w:val="Fuentedeprrafopredeter"/>
    <w:link w:val="ENLista1"/>
    <w:rsid w:val="00F951CA"/>
    <w:rPr>
      <w:rFonts w:ascii="ENAIRE Titillium Regular" w:hAnsi="ENAIRE Titillium Regular"/>
    </w:rPr>
  </w:style>
  <w:style w:type="paragraph" w:customStyle="1" w:styleId="ENLista2">
    <w:name w:val="EN_Lista_2"/>
    <w:basedOn w:val="ENLista1"/>
    <w:qFormat/>
    <w:rsid w:val="00F951CA"/>
    <w:pPr>
      <w:numPr>
        <w:ilvl w:val="1"/>
      </w:numPr>
      <w:tabs>
        <w:tab w:val="clear" w:pos="1440"/>
        <w:tab w:val="num" w:pos="360"/>
        <w:tab w:val="num" w:pos="2160"/>
      </w:tabs>
      <w:ind w:left="867" w:hanging="357"/>
    </w:pPr>
  </w:style>
  <w:style w:type="paragraph" w:customStyle="1" w:styleId="ENLista3">
    <w:name w:val="EN_Lista_3"/>
    <w:basedOn w:val="ENLista1"/>
    <w:qFormat/>
    <w:rsid w:val="00F951CA"/>
    <w:pPr>
      <w:numPr>
        <w:ilvl w:val="2"/>
      </w:numPr>
      <w:tabs>
        <w:tab w:val="clear" w:pos="2160"/>
        <w:tab w:val="num" w:pos="360"/>
        <w:tab w:val="num" w:pos="2880"/>
      </w:tabs>
      <w:ind w:left="102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ec9a4140-bf85-4393-a1b7-cbf5bf0d1403"/>
    <ds:schemaRef ds:uri="68889386-8191-428c-8cda-339befb4bc7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7AF08-CDBD-45FC-A1DF-67EADD5C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4770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Ortega Palenzuela, Cristina</cp:lastModifiedBy>
  <cp:revision>3</cp:revision>
  <cp:lastPrinted>2019-01-14T12:11:00Z</cp:lastPrinted>
  <dcterms:created xsi:type="dcterms:W3CDTF">2022-09-15T20:01:00Z</dcterms:created>
  <dcterms:modified xsi:type="dcterms:W3CDTF">2022-09-15T20:03:00Z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