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2BBBCF4A" w:rsidR="00035774" w:rsidRPr="00CA7DA0" w:rsidRDefault="00035774" w:rsidP="00CA7DA0">
      <w:pPr>
        <w:pStyle w:val="Ttulo1"/>
      </w:pPr>
      <w:bookmarkStart w:id="0" w:name="_Toc176436056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B66B41">
        <w:t xml:space="preserve">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C84AB24" w14:textId="41A9F65D" w:rsidR="00035774" w:rsidRDefault="00CA7DA0" w:rsidP="000357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</w:t>
      </w:r>
      <w:r w:rsidRPr="00060257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>ofrece llevarlo a cabo en el plazo de</w:t>
      </w:r>
      <w:r w:rsidR="00060257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 w:rsidRPr="00060257">
        <w:rPr>
          <w:rFonts w:ascii="ENAIRE Titillium Regular" w:hAnsi="ENAIRE Titillium Regular" w:cs="Arial"/>
          <w:sz w:val="22"/>
          <w:szCs w:val="22"/>
          <w:lang w:val="es-ES_tradnl"/>
        </w:rPr>
        <w:t>_</w:t>
      </w:r>
      <w:bookmarkEnd w:id="1"/>
      <w:r w:rsidRPr="00060257">
        <w:rPr>
          <w:rFonts w:ascii="ENAIRE Titillium Regular" w:hAnsi="ENAIRE Titillium Regular" w:cs="Arial"/>
          <w:sz w:val="22"/>
          <w:szCs w:val="22"/>
          <w:lang w:val="es-ES_tradnl"/>
        </w:rPr>
        <w:t>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 w:rsidRPr="001F3B07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>.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="00060257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>.</w:t>
      </w:r>
    </w:p>
    <w:p w14:paraId="1B3454E8" w14:textId="77777777" w:rsidR="00060257" w:rsidRPr="00C7505E" w:rsidRDefault="00060257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6E1203E5" w14:textId="64AD0E2F" w:rsidR="00035774" w:rsidRPr="00060257" w:rsidRDefault="00035774" w:rsidP="00035774">
      <w:pPr>
        <w:jc w:val="both"/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</w:pP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"/>
        </w:rPr>
        <w:t xml:space="preserve">Se </w:t>
      </w:r>
      <w:proofErr w:type="gramStart"/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"/>
        </w:rPr>
        <w:t>incluirá  en</w:t>
      </w:r>
      <w:proofErr w:type="gramEnd"/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"/>
        </w:rPr>
        <w:t xml:space="preserve"> las ofertas el desglose en partidas unitarias todos y cada uno  de los elementos que integran el suministro</w:t>
      </w:r>
      <w:r w:rsidRPr="00060257">
        <w:rPr>
          <w:rFonts w:ascii="ENAIRE Titillium Regular" w:hAnsi="ENAIRE Titillium Regular" w:cs="Arial"/>
          <w:color w:val="000000" w:themeColor="text1"/>
          <w:sz w:val="22"/>
          <w:szCs w:val="22"/>
          <w:lang w:val="es-ES"/>
        </w:rPr>
        <w:t>,</w:t>
      </w: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"/>
        </w:rPr>
        <w:t xml:space="preserve"> indicando la cantidad de unidades a servir y el precio unitario de cada una de ellas.</w:t>
      </w: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>de acuerdo al</w:t>
      </w:r>
      <w:proofErr w:type="gramEnd"/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 xml:space="preserve"> siguiente cálculo:</w:t>
      </w:r>
    </w:p>
    <w:p w14:paraId="442C4A6C" w14:textId="77777777" w:rsidR="00035774" w:rsidRPr="00060257" w:rsidRDefault="00035774" w:rsidP="00035774">
      <w:pPr>
        <w:ind w:left="142"/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</w:pPr>
    </w:p>
    <w:p w14:paraId="722FF02A" w14:textId="77777777" w:rsidR="00035774" w:rsidRPr="00060257" w:rsidRDefault="00035774" w:rsidP="00035774">
      <w:pPr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</w:pP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>IL= Importe de licitación (excluidas partidas que no admiten baja)</w:t>
      </w:r>
    </w:p>
    <w:p w14:paraId="341D80C8" w14:textId="77777777" w:rsidR="00035774" w:rsidRPr="00060257" w:rsidRDefault="00035774" w:rsidP="00035774">
      <w:pPr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</w:pP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>IO= Importe oferta (excluidas partidas que no admiten baja)</w:t>
      </w:r>
    </w:p>
    <w:p w14:paraId="6AE24681" w14:textId="77777777" w:rsidR="00035774" w:rsidRPr="00060257" w:rsidRDefault="00035774" w:rsidP="00035774">
      <w:pPr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</w:pP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 xml:space="preserve">PB= Porcentaje de Baja </w:t>
      </w:r>
    </w:p>
    <w:p w14:paraId="05B7B881" w14:textId="77777777" w:rsidR="00035774" w:rsidRPr="00060257" w:rsidRDefault="00035774" w:rsidP="00035774">
      <w:pPr>
        <w:jc w:val="center"/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</w:pPr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>PB = (IL-</w:t>
      </w:r>
      <w:proofErr w:type="gramStart"/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>IO)/</w:t>
      </w:r>
      <w:proofErr w:type="gramEnd"/>
      <w:r w:rsidRPr="00060257">
        <w:rPr>
          <w:rFonts w:ascii="ENAIRE Titillium Bold" w:hAnsi="ENAIRE Titillium Bold" w:cs="Arial"/>
          <w:color w:val="000000" w:themeColor="text1"/>
          <w:sz w:val="22"/>
          <w:szCs w:val="22"/>
          <w:lang w:val="es-ES_tradnl"/>
        </w:rPr>
        <w:t>IL</w:t>
      </w:r>
    </w:p>
    <w:p w14:paraId="742DE73B" w14:textId="3821E810" w:rsidR="00035774" w:rsidRPr="00060257" w:rsidRDefault="00035774" w:rsidP="00035774">
      <w:pPr>
        <w:widowControl/>
        <w:rPr>
          <w:rFonts w:ascii="Arial" w:hAnsi="Arial" w:cs="Arial"/>
          <w:b/>
          <w:color w:val="000000" w:themeColor="text1"/>
          <w:sz w:val="22"/>
          <w:szCs w:val="22"/>
          <w:lang w:val="es-ES_tradnl"/>
        </w:rPr>
      </w:pPr>
    </w:p>
    <w:p w14:paraId="6EC1BA06" w14:textId="4EBA06AA" w:rsidR="00593D4B" w:rsidRPr="00593D4B" w:rsidRDefault="00593D4B">
      <w:pPr>
        <w:widowControl/>
        <w:rPr>
          <w:color w:val="000000" w:themeColor="text1"/>
          <w:lang w:val="es-ES"/>
        </w:rPr>
        <w:sectPr w:rsidR="00593D4B" w:rsidRPr="00593D4B" w:rsidSect="0026437D">
          <w:headerReference w:type="default" r:id="rId11"/>
          <w:footerReference w:type="default" r:id="rId12"/>
          <w:endnotePr>
            <w:numFmt w:val="decimal"/>
          </w:endnotePr>
          <w:pgSz w:w="11906" w:h="16838"/>
          <w:pgMar w:top="1701" w:right="1440" w:bottom="1418" w:left="1440" w:header="340" w:footer="567" w:gutter="0"/>
          <w:pgNumType w:fmt="numberInDash"/>
          <w:cols w:space="720"/>
          <w:noEndnote/>
          <w:docGrid w:linePitch="326"/>
        </w:sectPr>
      </w:pPr>
    </w:p>
    <w:p w14:paraId="0FB7C1EF" w14:textId="77777777" w:rsidR="00593D4B" w:rsidRDefault="00593D4B" w:rsidP="00E001A3">
      <w:pPr>
        <w:pStyle w:val="Ttulo1"/>
        <w:rPr>
          <w:b w:val="0"/>
          <w:caps w:val="0"/>
          <w:color w:val="000000" w:themeColor="text1"/>
        </w:rPr>
      </w:pPr>
      <w:bookmarkStart w:id="2" w:name="_Toc176436057"/>
      <w:r>
        <w:rPr>
          <w:b w:val="0"/>
          <w:caps w:val="0"/>
          <w:color w:val="000000" w:themeColor="text1"/>
        </w:rPr>
        <w:lastRenderedPageBreak/>
        <w:t>ANEXO I (</w:t>
      </w:r>
      <w:proofErr w:type="gramStart"/>
      <w:r>
        <w:rPr>
          <w:b w:val="0"/>
          <w:caps w:val="0"/>
          <w:color w:val="000000" w:themeColor="text1"/>
        </w:rPr>
        <w:t>BIS)  PRESUPUEST</w:t>
      </w:r>
      <w:proofErr w:type="gramEnd"/>
      <w:r>
        <w:rPr>
          <w:b w:val="0"/>
          <w:caps w:val="0"/>
          <w:color w:val="000000" w:themeColor="text1"/>
        </w:rPr>
        <w:t xml:space="preserve"> DESGLOSADO</w:t>
      </w:r>
      <w:bookmarkEnd w:id="2"/>
    </w:p>
    <w:p w14:paraId="2D64B78C" w14:textId="77777777" w:rsidR="00593D4B" w:rsidRDefault="00593D4B">
      <w:pPr>
        <w:widowControl/>
        <w:rPr>
          <w:rFonts w:ascii="ENAIRE Titillium Bold" w:hAnsi="ENAIRE Titillium Bold"/>
          <w:b/>
          <w:caps/>
          <w:color w:val="000000" w:themeColor="text1"/>
          <w:sz w:val="22"/>
          <w:szCs w:val="22"/>
          <w:u w:val="single"/>
          <w:lang w:val="es-ES_tradnl"/>
        </w:rPr>
      </w:pPr>
    </w:p>
    <w:tbl>
      <w:tblPr>
        <w:tblW w:w="13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5880"/>
        <w:gridCol w:w="4180"/>
        <w:gridCol w:w="1140"/>
        <w:gridCol w:w="1160"/>
      </w:tblGrid>
      <w:tr w:rsidR="00593D4B" w:rsidRPr="00593D4B" w14:paraId="085E3F97" w14:textId="77777777" w:rsidTr="00593D4B">
        <w:trPr>
          <w:trHeight w:val="5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C9EC"/>
            <w:vAlign w:val="center"/>
            <w:hideMark/>
          </w:tcPr>
          <w:p w14:paraId="641DB326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  <w:t>Unidades</w:t>
            </w:r>
          </w:p>
        </w:tc>
        <w:tc>
          <w:tcPr>
            <w:tcW w:w="5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vAlign w:val="center"/>
            <w:hideMark/>
          </w:tcPr>
          <w:p w14:paraId="626EB52F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  <w:t>Descripción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center"/>
            <w:hideMark/>
          </w:tcPr>
          <w:p w14:paraId="4C29B9FE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</w:pPr>
            <w:proofErr w:type="gramStart"/>
            <w:r w:rsidRPr="00593D4B"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  <w:t>Marca  y</w:t>
            </w:r>
            <w:proofErr w:type="gramEnd"/>
            <w:r w:rsidRPr="00593D4B"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  <w:t xml:space="preserve">  Modelo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vAlign w:val="center"/>
            <w:hideMark/>
          </w:tcPr>
          <w:p w14:paraId="77D13104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  <w:t>Precio Unitario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vAlign w:val="center"/>
            <w:hideMark/>
          </w:tcPr>
          <w:p w14:paraId="2F526E4D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b/>
                <w:bCs/>
                <w:snapToGrid/>
                <w:color w:val="000000"/>
                <w:sz w:val="20"/>
                <w:lang w:val="es-ES"/>
              </w:rPr>
              <w:t>Precio Total</w:t>
            </w:r>
          </w:p>
        </w:tc>
      </w:tr>
      <w:tr w:rsidR="00593D4B" w:rsidRPr="00593D4B" w14:paraId="48B6F772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A3F80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2DB7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RS2423RP+ Synology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Servidor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 NAS Rack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9D5B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7DE5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A6163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593D4B" w14:paraId="5AA01E4B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9A25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4D1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Ampliación RAM a 32 GB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F486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FB4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9946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7F306983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1776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BD92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Tarjeta de red Synology E10G30-T2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61AA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9A46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4E98B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5140A3D7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CB5B4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3C8FB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Discos HAT3310-12T Synology Serie Plus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21223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E911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1316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C3177D" w14:paraId="7CC7A8D5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A5921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A21A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RKS-02 Kit de raíles deslizantes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9D54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7642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8F1F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37862E0A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4E965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A7E7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RP12123RP Expansion unit 12bay rack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26C9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D33D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A045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C3177D" w14:paraId="2D44ECBF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0FB3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4063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RKS-02 Kit de raíles deslizantes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0458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90193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E259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1DAB2ECB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B1B86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BD01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Ampliación RAM D4EC-2666-16G -DDR4 ECC UDIMM 16GB (Compatibilidad con Synology SA3200D)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B48E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9203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4897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531F7EE9" w14:textId="77777777" w:rsidTr="00593D4B">
        <w:trPr>
          <w:trHeight w:val="78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E5EE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7C08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DIGITUS USB a adaptador serie, Conversor RS232, USB 2.0 Tipo-A a DSUB 9M, chipset FTDI FT232RL, Incluye cable de 80 cm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2493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0CAE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5EC8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49B4F549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8D41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BE3F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DriverGenius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Conversor USB-C a Serie RS232 con 9 x LED de Monitoreo de Datos para PC/Ma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4224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3476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6CCA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038B7256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2BF38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30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EAF0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Lati.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Fibra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 O. LC-LC 9-125 Duplex 2 M OS2 LSZH ACT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E21D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4538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60F0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593D4B" w14:paraId="5EF65640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E0B36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D26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Lati.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Fibra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 O. LC-LC 9-125 Duplex 5 M OS2 LSZH ACT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4DE0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6DB9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2B493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593D4B" w14:paraId="0EC44E1B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7AFD7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195B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Lati.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Fibra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 O. LC-LC 9-125 Duplex 10 M OS2 LSZH ACT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A23D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DC11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4EB5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C3177D" w14:paraId="68F96DB1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526D2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F04EE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Elfcam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® - Limpiador de Conector de Fibra Óptica para limpiadores de Fibra Óptica para 1,25 mm/2,5 mm, </w:t>
            </w:r>
            <w:proofErr w:type="gram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SC,FC</w:t>
            </w:r>
            <w:proofErr w:type="gram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,ST,MU,LC,MPO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CF29B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3FD7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FEAA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2E6F9625" w14:textId="77777777" w:rsidTr="00D53D8F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21084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0836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Alcohol Isopropílico 99,9% Pureza | 1L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DCC0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8F89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4AC3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68761C48" w14:textId="77777777" w:rsidTr="00D53D8F">
        <w:trPr>
          <w:trHeight w:val="103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CCF5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lastRenderedPageBreak/>
              <w:t>1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795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Antivirus PANDA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Advance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10 dispositivos 3 años Antivirus y firewall VPN con límite de 150 MB/día para una navegación segura Protección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Wi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-Fi Compras online seguras Protección contra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ransomware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Control parental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E4F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8F9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20AB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40CA75CC" w14:textId="77777777" w:rsidTr="00D53D8F">
        <w:trPr>
          <w:trHeight w:val="420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7E008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5FA3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Inversor 12v a 220v 300W para Coche, Convertidor con Puertos Doble USB - Adaptador Mechero Coche a Enchufe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3A3B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B8EF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8BFF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1B50B3F3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5FCFC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71C4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Crucial RAM 32GB (2x16GB) DDR4 3200MHz CL22 (o 2933MHz o 2666MHz) Kit de Memoria Portátil CT2K16G4SFRA32A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4834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CBFB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48F0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710B61CC" w14:textId="77777777" w:rsidTr="00593D4B">
        <w:trPr>
          <w:trHeight w:val="103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43D09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7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27E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NiPoGi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Mini PC Ryzen 5 5500U (6C/12T, hasta 4,0 GHz),16GB DDR4 512GB SSD Mini Ordenadores de Sobremesa, Mini Computadora con 2 </w:t>
            </w:r>
            <w:proofErr w:type="spellStart"/>
            <w:proofErr w:type="gram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Ethernet,HDMI</w:t>
            </w:r>
            <w:proofErr w:type="spellEnd"/>
            <w:proofErr w:type="gram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/DP/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Type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-C para Educación/Oficina/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Juego,Micro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PC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4E9F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1541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3031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1964B8C2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3CF63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7E19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Nordace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Bergen – Mochila Ligera de Diario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6CC9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3188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0561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141D16D4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A79E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50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B3AA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Latiguillos no apantallados (UTP) LSOH Excel Categoría 6 A 3M - Gris 100-312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5115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75B8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EF58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7309D48B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18900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918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Latiguillos no apantallados (UTP) LSOH Excel Categoría 6 A 5 M - Gris 100-314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7C6C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25E2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289B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5CFAE9B6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D8FF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9C4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Latiguillos no apantallados (UTP) LSOH Excel Categoría 6 A 10 M - Gris 100-335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75FD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4F9C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FEB8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497DBC5E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E541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BA4F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Cable U/UTP sin apantallar de Categoría 6, LSOH, caja de 305 m (violeta)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Ref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100-071-305M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3591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E83C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245D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234B7E81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40A1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C629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Conector Rj45 UTP Cat 6 bolsa 100ud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E14B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E7C1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C3C2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594F67BE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0DD67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A774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Xiaomi Electric Precision Screwdriver Kit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EEE3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5340E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ADDE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C3177D" w14:paraId="0A1F069B" w14:textId="77777777" w:rsidTr="00593D4B">
        <w:trPr>
          <w:trHeight w:val="78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BBDDD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98F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Bosch Home and Garden Atornillador a batería compacto IXO, 7.ª generación; 3.6 V; 2.0 Ah; 5.5 Nm; set incluye accesorios de atornillado en ángulo y excéntricos; con cable micro USB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BC86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398E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3B1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7E1D611A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D22FA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B34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Taburete con ruedas 42x40 cm gris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1783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CE1FF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6A03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026C883B" w14:textId="77777777" w:rsidTr="00D53D8F">
        <w:trPr>
          <w:trHeight w:val="78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31DB4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7549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AVerMedia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Live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Gamer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ULTRA GC553, 4KP60 HDR Pass-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Through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, USB 3.1, Capturadora de vídeo, Ultra baja latencia, Plug and Play, 4K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4E24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A555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92C1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3BFAD7A9" w14:textId="77777777" w:rsidTr="00D53D8F">
        <w:trPr>
          <w:trHeight w:val="103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032C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lastRenderedPageBreak/>
              <w:t>4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6A4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Adaptador DisplayPort a HDMI - 4K 60Hz - Convertidor Activo de Vídeo DisplayPort 1.4 a HDMI 2.0b 4K de 60Hz con HDR10 - Adaptador Tipo Dongle DP a HDMI de 4K para Monitor o TV - Pestillo (DP2HD4K60S)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241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767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E96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1E990DD4" w14:textId="77777777" w:rsidTr="00D53D8F">
        <w:trPr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38CD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5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FD21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AdderLink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 INFINITY Dual 2112T: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ADDERLink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® INFINITY Dual 2112T | Adder Technology 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C5A8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8FB0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21DA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C3177D" w14:paraId="4A53A912" w14:textId="77777777" w:rsidTr="00593D4B">
        <w:trPr>
          <w:trHeight w:val="103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3649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3782B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Generico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Servidor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PowerEdge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T130 | 4xLFF TOWER | 1 x E3-1240 V6 | 64GB DDR4 ECC REG | HDD 2x3TB SAS 3,5" | H730 Raid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Ctrl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| 4xLAN1000 | 2x495W PSU (Con Windows Server 20 22 Estándar)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5E7F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06FC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D13F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7118CBB5" w14:textId="77777777" w:rsidTr="00593D4B">
        <w:trPr>
          <w:trHeight w:val="52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9F62D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5DFA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Dell U4320Q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UltraSharp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- Monitor de computadora 4K UHD de 43 pulgadas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1280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9C78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91D61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444375DD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BC4CE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6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9FBF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Monitor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UltraSharp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30" con concentrador USB-C | U3023E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3E022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A7B8E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2AC2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6BD06474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D785F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FD39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Licencias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MobaXterm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(Edición Profesional)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5241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6774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A880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10D0CD7A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AAB08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0132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Licencia Microsoft</w:t>
            </w: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365 Empresa Est</w:t>
            </w:r>
            <w:r w:rsidRPr="00593D4B">
              <w:rPr>
                <w:rFonts w:ascii="ENAIRE Titillium Regular" w:hAnsi="ENAIRE Titillium Regular" w:cs="ENAIRE Titillium Regular"/>
                <w:snapToGrid/>
                <w:color w:val="000000"/>
                <w:sz w:val="20"/>
                <w:lang w:val="es-ES"/>
              </w:rPr>
              <w:t>á</w:t>
            </w: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ndar (suscripci</w:t>
            </w:r>
            <w:r w:rsidRPr="00593D4B">
              <w:rPr>
                <w:rFonts w:ascii="ENAIRE Titillium Regular" w:hAnsi="ENAIRE Titillium Regular" w:cs="ENAIRE Titillium Regular"/>
                <w:snapToGrid/>
                <w:color w:val="000000"/>
                <w:sz w:val="20"/>
                <w:lang w:val="es-ES"/>
              </w:rPr>
              <w:t>ó</w:t>
            </w: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n anual)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C3A7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C3CB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18BE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79D92C15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76968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9B7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ThinkPad T14s Gen 4 (Part number: </w:t>
            </w: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 </w:t>
            </w: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21F6CTO1WWES1)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EFDAA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644C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8DD2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593D4B" w14:paraId="4EB7A7FB" w14:textId="77777777" w:rsidTr="00593D4B">
        <w:trPr>
          <w:trHeight w:val="42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D18B1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909E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 xml:space="preserve">LG 34WN780P-B 34" LED IPS UltraHD 4K 75Hz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</w:rPr>
              <w:t>FreeSync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DC753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47DE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F4DC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</w:rPr>
              <w:t> </w:t>
            </w:r>
          </w:p>
        </w:tc>
      </w:tr>
      <w:tr w:rsidR="00593D4B" w:rsidRPr="00C3177D" w14:paraId="2B3F0888" w14:textId="77777777" w:rsidTr="00593D4B">
        <w:trPr>
          <w:trHeight w:val="78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4161B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1066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Metapen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Lápiz M1 para Surface, Carga Rápida (300 Horas de Duración de la Batería), Rechazo de Palma, Surface Pen para Surface </w:t>
            </w:r>
            <w:proofErr w:type="gram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Pro X</w:t>
            </w:r>
            <w:proofErr w:type="gram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/9/8/7/6/5/4/3, Surface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Go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3/Book 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FED0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5A56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805B0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C3177D" w14:paraId="5EB1410B" w14:textId="77777777" w:rsidTr="00FE7482">
        <w:trPr>
          <w:trHeight w:val="78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709D9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18566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Omnpak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Funda Compatible con Microsoft Surface </w:t>
            </w:r>
            <w:proofErr w:type="gram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Pro 7</w:t>
            </w:r>
            <w:proofErr w:type="gram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+(7 Plus) 2021/ Surface Pro 7 2019/ Surface Pro 6 2018/ Surface Pro 5 2017, Funda de Cuero PU - Verde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836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8EF17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93C0C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2B433A0E" w14:textId="77777777" w:rsidTr="00FE7482">
        <w:trPr>
          <w:trHeight w:val="78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3509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2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85A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Rii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Teclado Inalámbrico Bluetooth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Magnétic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para Microsoft Surface Pro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Signature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Teclado, </w:t>
            </w:r>
            <w:proofErr w:type="spell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Layout</w:t>
            </w:r>
            <w:proofErr w:type="spell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</w:t>
            </w:r>
            <w:proofErr w:type="gram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Español</w:t>
            </w:r>
            <w:proofErr w:type="gram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(Surface Pro 3/4/5/6/7/7 Plus)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C994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D2D45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EAF98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  <w:tr w:rsidR="00593D4B" w:rsidRPr="00593D4B" w14:paraId="7FC72576" w14:textId="77777777" w:rsidTr="0088125C">
        <w:trPr>
          <w:trHeight w:val="600"/>
        </w:trPr>
        <w:tc>
          <w:tcPr>
            <w:tcW w:w="11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4D16EAC6" w14:textId="77777777" w:rsidR="00593D4B" w:rsidRPr="00593D4B" w:rsidRDefault="00593D4B" w:rsidP="00593D4B">
            <w:pPr>
              <w:widowControl/>
              <w:jc w:val="center"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proofErr w:type="gramStart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>TOTAL</w:t>
            </w:r>
            <w:proofErr w:type="gramEnd"/>
            <w:r w:rsidRPr="00593D4B"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  <w:t xml:space="preserve"> OFERTA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033996E9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C9EC"/>
            <w:noWrap/>
            <w:vAlign w:val="bottom"/>
            <w:hideMark/>
          </w:tcPr>
          <w:p w14:paraId="535F081D" w14:textId="77777777" w:rsidR="00593D4B" w:rsidRPr="00593D4B" w:rsidRDefault="00593D4B" w:rsidP="00593D4B">
            <w:pPr>
              <w:widowControl/>
              <w:rPr>
                <w:rFonts w:ascii="ENAIRE Titillium Regular" w:hAnsi="ENAIRE Titillium Regular"/>
                <w:snapToGrid/>
                <w:color w:val="000000"/>
                <w:sz w:val="20"/>
                <w:lang w:val="es-ES"/>
              </w:rPr>
            </w:pPr>
            <w:r w:rsidRPr="00593D4B">
              <w:rPr>
                <w:rFonts w:ascii="Calibri" w:hAnsi="Calibri" w:cs="Calibri"/>
                <w:snapToGrid/>
                <w:color w:val="000000"/>
                <w:sz w:val="20"/>
                <w:lang w:val="es-ES"/>
              </w:rPr>
              <w:t> </w:t>
            </w:r>
          </w:p>
        </w:tc>
      </w:tr>
    </w:tbl>
    <w:p w14:paraId="7133248E" w14:textId="73B10B81" w:rsidR="00017BEB" w:rsidRDefault="00017BEB">
      <w:pPr>
        <w:widowControl/>
        <w:rPr>
          <w:rFonts w:ascii="ENAIRE Titillium Bold" w:hAnsi="ENAIRE Titillium Bold"/>
          <w:b/>
          <w:caps/>
          <w:color w:val="000000" w:themeColor="text1"/>
          <w:sz w:val="22"/>
          <w:szCs w:val="22"/>
          <w:u w:val="single"/>
          <w:lang w:val="es-ES_tradnl"/>
        </w:rPr>
      </w:pPr>
    </w:p>
    <w:p w14:paraId="64A2E8C1" w14:textId="2AA45F66" w:rsidR="0045593A" w:rsidRDefault="0045593A" w:rsidP="00017BEB">
      <w:pPr>
        <w:pStyle w:val="Ttulo1"/>
        <w:rPr>
          <w:rFonts w:ascii="ENAIRE Titillium Light" w:hAnsi="ENAIRE Titillium Light" w:cs="Arial"/>
          <w:i/>
          <w:lang w:val="es-ES"/>
        </w:rPr>
      </w:pPr>
    </w:p>
    <w:sectPr w:rsidR="0045593A" w:rsidSect="00017BEB">
      <w:endnotePr>
        <w:numFmt w:val="decimal"/>
      </w:endnotePr>
      <w:pgSz w:w="16838" w:h="11906" w:orient="landscape"/>
      <w:pgMar w:top="1440" w:right="1701" w:bottom="1440" w:left="1418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979974546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CN 182/2024</w:t>
    </w:r>
  </w:p>
  <w:p w14:paraId="31F8FDFF" w14:textId="77777777" w:rsidR="00017BEB" w:rsidRDefault="00017B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00A4"/>
    <w:multiLevelType w:val="hybridMultilevel"/>
    <w:tmpl w:val="CD20BBE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96674"/>
    <w:multiLevelType w:val="hybridMultilevel"/>
    <w:tmpl w:val="55E25198"/>
    <w:lvl w:ilvl="0" w:tplc="CE2270EE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370" w:hanging="360"/>
      </w:pPr>
    </w:lvl>
    <w:lvl w:ilvl="2" w:tplc="0C0A001B">
      <w:start w:val="1"/>
      <w:numFmt w:val="lowerRoman"/>
      <w:lvlText w:val="%3."/>
      <w:lvlJc w:val="right"/>
      <w:pPr>
        <w:ind w:left="1090" w:hanging="180"/>
      </w:pPr>
    </w:lvl>
    <w:lvl w:ilvl="3" w:tplc="0C0A000F">
      <w:start w:val="1"/>
      <w:numFmt w:val="decimal"/>
      <w:lvlText w:val="%4."/>
      <w:lvlJc w:val="left"/>
      <w:pPr>
        <w:ind w:left="1810" w:hanging="360"/>
      </w:pPr>
    </w:lvl>
    <w:lvl w:ilvl="4" w:tplc="0C0A0019">
      <w:start w:val="1"/>
      <w:numFmt w:val="lowerLetter"/>
      <w:lvlText w:val="%5."/>
      <w:lvlJc w:val="left"/>
      <w:pPr>
        <w:ind w:left="2530" w:hanging="360"/>
      </w:pPr>
    </w:lvl>
    <w:lvl w:ilvl="5" w:tplc="0C0A001B">
      <w:start w:val="1"/>
      <w:numFmt w:val="lowerRoman"/>
      <w:lvlText w:val="%6."/>
      <w:lvlJc w:val="right"/>
      <w:pPr>
        <w:ind w:left="3250" w:hanging="180"/>
      </w:pPr>
    </w:lvl>
    <w:lvl w:ilvl="6" w:tplc="0C0A000F">
      <w:start w:val="1"/>
      <w:numFmt w:val="decimal"/>
      <w:lvlText w:val="%7."/>
      <w:lvlJc w:val="left"/>
      <w:pPr>
        <w:ind w:left="3970" w:hanging="360"/>
      </w:pPr>
    </w:lvl>
    <w:lvl w:ilvl="7" w:tplc="0C0A0019">
      <w:start w:val="1"/>
      <w:numFmt w:val="lowerLetter"/>
      <w:lvlText w:val="%8."/>
      <w:lvlJc w:val="left"/>
      <w:pPr>
        <w:ind w:left="4690" w:hanging="360"/>
      </w:pPr>
    </w:lvl>
    <w:lvl w:ilvl="8" w:tplc="0C0A001B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477468E5"/>
    <w:multiLevelType w:val="hybridMultilevel"/>
    <w:tmpl w:val="D20835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4F82687D"/>
    <w:multiLevelType w:val="hybridMultilevel"/>
    <w:tmpl w:val="E3FCFB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0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6"/>
  </w:num>
  <w:num w:numId="3" w16cid:durableId="1511141689">
    <w:abstractNumId w:val="7"/>
  </w:num>
  <w:num w:numId="4" w16cid:durableId="705564112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1"/>
  </w:num>
  <w:num w:numId="6" w16cid:durableId="1502427540">
    <w:abstractNumId w:val="6"/>
  </w:num>
  <w:num w:numId="7" w16cid:durableId="1565947914">
    <w:abstractNumId w:val="38"/>
  </w:num>
  <w:num w:numId="8" w16cid:durableId="1626884827">
    <w:abstractNumId w:val="33"/>
  </w:num>
  <w:num w:numId="9" w16cid:durableId="600912420">
    <w:abstractNumId w:val="39"/>
  </w:num>
  <w:num w:numId="10" w16cid:durableId="1903249704">
    <w:abstractNumId w:val="2"/>
  </w:num>
  <w:num w:numId="11" w16cid:durableId="451169207">
    <w:abstractNumId w:val="32"/>
  </w:num>
  <w:num w:numId="12" w16cid:durableId="505021863">
    <w:abstractNumId w:val="40"/>
  </w:num>
  <w:num w:numId="13" w16cid:durableId="327827728">
    <w:abstractNumId w:val="10"/>
  </w:num>
  <w:num w:numId="14" w16cid:durableId="1067649051">
    <w:abstractNumId w:val="27"/>
  </w:num>
  <w:num w:numId="15" w16cid:durableId="163516631">
    <w:abstractNumId w:val="41"/>
  </w:num>
  <w:num w:numId="16" w16cid:durableId="1379669089">
    <w:abstractNumId w:val="14"/>
  </w:num>
  <w:num w:numId="17" w16cid:durableId="482967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7"/>
  </w:num>
  <w:num w:numId="19" w16cid:durableId="1543710062">
    <w:abstractNumId w:val="35"/>
  </w:num>
  <w:num w:numId="20" w16cid:durableId="1659461994">
    <w:abstractNumId w:val="29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6"/>
  </w:num>
  <w:num w:numId="24" w16cid:durableId="1584874335">
    <w:abstractNumId w:val="15"/>
  </w:num>
  <w:num w:numId="25" w16cid:durableId="551842190">
    <w:abstractNumId w:val="18"/>
  </w:num>
  <w:num w:numId="26" w16cid:durableId="1651209277">
    <w:abstractNumId w:val="25"/>
  </w:num>
  <w:num w:numId="27" w16cid:durableId="932781295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7"/>
  </w:num>
  <w:num w:numId="29" w16cid:durableId="1512450047">
    <w:abstractNumId w:val="13"/>
  </w:num>
  <w:num w:numId="30" w16cid:durableId="676687121">
    <w:abstractNumId w:val="23"/>
  </w:num>
  <w:num w:numId="31" w16cid:durableId="682317107">
    <w:abstractNumId w:val="12"/>
  </w:num>
  <w:num w:numId="32" w16cid:durableId="492338556">
    <w:abstractNumId w:val="34"/>
  </w:num>
  <w:num w:numId="33" w16cid:durableId="2005546095">
    <w:abstractNumId w:val="20"/>
  </w:num>
  <w:num w:numId="34" w16cid:durableId="1707019350">
    <w:abstractNumId w:val="5"/>
  </w:num>
  <w:num w:numId="35" w16cid:durableId="1205559611">
    <w:abstractNumId w:val="30"/>
  </w:num>
  <w:num w:numId="36" w16cid:durableId="832985482">
    <w:abstractNumId w:val="24"/>
  </w:num>
  <w:num w:numId="37" w16cid:durableId="537133948">
    <w:abstractNumId w:val="28"/>
  </w:num>
  <w:num w:numId="38" w16cid:durableId="1491211201">
    <w:abstractNumId w:val="16"/>
  </w:num>
  <w:num w:numId="39" w16cid:durableId="760563461">
    <w:abstractNumId w:val="9"/>
  </w:num>
  <w:num w:numId="40" w16cid:durableId="1548108758">
    <w:abstractNumId w:val="8"/>
  </w:num>
  <w:num w:numId="41" w16cid:durableId="204605682">
    <w:abstractNumId w:val="1"/>
  </w:num>
  <w:num w:numId="42" w16cid:durableId="1124233362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17BEB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0257"/>
    <w:rsid w:val="00062D4B"/>
    <w:rsid w:val="00063CDF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2593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C5F87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254AE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3D4B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36FB0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25C"/>
    <w:rsid w:val="00881C58"/>
    <w:rsid w:val="008852E8"/>
    <w:rsid w:val="0089119D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08ED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4501F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2E71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86668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49A"/>
    <w:rsid w:val="00C247D1"/>
    <w:rsid w:val="00C31454"/>
    <w:rsid w:val="00C3177D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E7C34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3D8F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01A3"/>
    <w:rsid w:val="00E05DCB"/>
    <w:rsid w:val="00E06649"/>
    <w:rsid w:val="00E131F0"/>
    <w:rsid w:val="00E158A3"/>
    <w:rsid w:val="00E1787A"/>
    <w:rsid w:val="00E21A56"/>
    <w:rsid w:val="00E2633F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6B8F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3BC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E7482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6367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Viana Lozoya, Ana María</cp:lastModifiedBy>
  <cp:revision>2</cp:revision>
  <cp:lastPrinted>2024-09-05T11:47:00Z</cp:lastPrinted>
  <dcterms:created xsi:type="dcterms:W3CDTF">2024-09-05T13:09:00Z</dcterms:created>
  <dcterms:modified xsi:type="dcterms:W3CDTF">2024-09-05T13:09:00Z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