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87"/>
        <w:gridCol w:w="6888"/>
      </w:tblGrid>
      <w:tr w:rsidR="00BA7373" w:rsidTr="00BA7373">
        <w:trPr>
          <w:trHeight w:val="454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373" w:rsidRPr="00BA7373" w:rsidRDefault="00BA7373">
            <w:pPr>
              <w:jc w:val="left"/>
              <w:rPr>
                <w:b/>
                <w:sz w:val="18"/>
              </w:rPr>
            </w:pPr>
            <w:r w:rsidRPr="00BA7373">
              <w:rPr>
                <w:b/>
                <w:sz w:val="18"/>
              </w:rPr>
              <w:t>Expediente Nº: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373" w:rsidRDefault="00BA7373" w:rsidP="00BA7373">
            <w:pPr>
              <w:jc w:val="left"/>
              <w:rPr>
                <w:b/>
              </w:rPr>
            </w:pPr>
            <w:r>
              <w:rPr>
                <w:rStyle w:val="Estilo16"/>
                <w:sz w:val="20"/>
              </w:rPr>
              <w:t>SER-2</w:t>
            </w:r>
            <w:r w:rsidR="00F61D2C">
              <w:rPr>
                <w:rStyle w:val="Estilo16"/>
                <w:sz w:val="20"/>
              </w:rPr>
              <w:t>4-0174</w:t>
            </w:r>
            <w:r>
              <w:rPr>
                <w:rStyle w:val="Estilo16"/>
                <w:sz w:val="20"/>
              </w:rPr>
              <w:t>-OSA Transporte de Viajeros en</w:t>
            </w:r>
            <w:r w:rsidR="00F61D2C">
              <w:rPr>
                <w:rStyle w:val="Estilo16"/>
                <w:sz w:val="20"/>
              </w:rPr>
              <w:t xml:space="preserve"> Barcelona, Reus y Tarragona</w:t>
            </w:r>
            <w:bookmarkStart w:id="1" w:name="_GoBack"/>
            <w:bookmarkEnd w:id="1"/>
          </w:p>
        </w:tc>
      </w:tr>
    </w:tbl>
    <w:p w:rsidR="00BA7373" w:rsidRDefault="00BA7373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1949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2" w:name="OLE_LINK4"/>
            <w:bookmarkStart w:id="3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r w:rsidR="009C2623">
        <w:t>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F61D2C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F61D2C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E31762" w:rsidRDefault="00E31762" w:rsidP="00063A29">
      <w:pPr>
        <w:pStyle w:val="Prrafodelista"/>
        <w:ind w:left="360" w:right="-1"/>
        <w:rPr>
          <w:rFonts w:cs="Arial"/>
        </w:rPr>
      </w:pPr>
    </w:p>
    <w:p w:rsidR="00E31762" w:rsidRDefault="00E31762" w:rsidP="00063A29">
      <w:pPr>
        <w:pStyle w:val="Prrafodelista"/>
        <w:ind w:left="360" w:right="-1"/>
        <w:rPr>
          <w:rFonts w:cs="Arial"/>
        </w:rPr>
      </w:pPr>
    </w:p>
    <w:p w:rsidR="00E31762" w:rsidRDefault="00E31762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E31762" w:rsidRPr="00E31762" w:rsidRDefault="00E31762" w:rsidP="00E31762">
      <w:pPr>
        <w:pStyle w:val="Prrafodelista"/>
        <w:ind w:left="360" w:right="-1"/>
        <w:rPr>
          <w:rFonts w:cs="Arial"/>
          <w:b/>
          <w:i/>
        </w:rPr>
      </w:pPr>
    </w:p>
    <w:p w:rsidR="00E31762" w:rsidRPr="00E31762" w:rsidRDefault="00E31762" w:rsidP="00E31762">
      <w:pPr>
        <w:pStyle w:val="Prrafodelista"/>
        <w:ind w:left="360" w:right="-1"/>
        <w:rPr>
          <w:rFonts w:cs="Arial"/>
          <w:b/>
          <w:i/>
        </w:rPr>
      </w:pPr>
    </w:p>
    <w:p w:rsidR="00E31762" w:rsidRPr="00E31762" w:rsidRDefault="00E31762" w:rsidP="00E31762">
      <w:pPr>
        <w:pStyle w:val="Prrafodelista"/>
        <w:ind w:left="360" w:right="-1"/>
        <w:rPr>
          <w:rFonts w:cs="Arial"/>
          <w:b/>
          <w:i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p w:rsidR="002873D9" w:rsidRDefault="002873D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5069EA" w:rsidTr="00BB7EDF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153598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2873D9" w:rsidTr="00732C60">
        <w:trPr>
          <w:trHeight w:val="567"/>
        </w:trPr>
        <w:tc>
          <w:tcPr>
            <w:tcW w:w="7903" w:type="dxa"/>
            <w:gridSpan w:val="2"/>
          </w:tcPr>
          <w:p w:rsidR="002873D9" w:rsidRPr="002873D9" w:rsidRDefault="002873D9" w:rsidP="002873D9">
            <w:pPr>
              <w:pStyle w:val="Prrafodelista"/>
              <w:ind w:left="0" w:right="-1"/>
              <w:rPr>
                <w:b/>
                <w:bCs/>
              </w:rPr>
            </w:pPr>
            <w:r w:rsidRPr="002873D9">
              <w:rPr>
                <w:b/>
                <w:bCs/>
              </w:rPr>
              <w:t xml:space="preserve">La empresa </w:t>
            </w:r>
            <w:r w:rsidRPr="002873D9">
              <w:t>a la que represento</w:t>
            </w:r>
            <w:r w:rsidRPr="002873D9">
              <w:rPr>
                <w:b/>
                <w:bCs/>
              </w:rPr>
              <w:t xml:space="preserve"> tiene 50 o más trabajadores</w:t>
            </w:r>
            <w:r w:rsidRPr="002873D9">
              <w:t xml:space="preserve"> </w:t>
            </w:r>
            <w:r w:rsidRPr="002873D9">
              <w:rPr>
                <w:b/>
                <w:bCs/>
              </w:rPr>
              <w:t>y:</w:t>
            </w:r>
          </w:p>
          <w:p w:rsidR="002873D9" w:rsidRPr="002873D9" w:rsidRDefault="00F61D2C" w:rsidP="002873D9">
            <w:pPr>
              <w:pStyle w:val="Prrafodelista"/>
              <w:ind w:left="0" w:right="-1"/>
              <w:rPr>
                <w:rStyle w:val="linktodoc"/>
              </w:rPr>
            </w:pPr>
            <w:sdt>
              <w:sdtPr>
                <w:rPr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73D9" w:rsidRPr="002873D9"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2873D9" w:rsidRPr="002873D9">
              <w:rPr>
                <w:b/>
                <w:bCs/>
              </w:rPr>
              <w:t xml:space="preserve"> al menos el 2% de sus empleados son trabajadores con discapacidad </w:t>
            </w:r>
            <w:r w:rsidR="002873D9" w:rsidRPr="002873D9">
              <w:t xml:space="preserve">cumpliendo con el </w:t>
            </w:r>
            <w:r w:rsidR="002873D9" w:rsidRPr="002873D9">
              <w:rPr>
                <w:rStyle w:val="linktodoc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2873D9" w:rsidRPr="002873D9" w:rsidRDefault="002873D9" w:rsidP="002873D9">
            <w:pPr>
              <w:pStyle w:val="Prrafodelista"/>
              <w:ind w:left="0" w:right="-1"/>
              <w:rPr>
                <w:rStyle w:val="linktodoc"/>
                <w:b/>
                <w:bCs/>
                <w:sz w:val="24"/>
                <w:szCs w:val="24"/>
              </w:rPr>
            </w:pPr>
            <w:r w:rsidRPr="002873D9">
              <w:rPr>
                <w:rStyle w:val="linktodoc"/>
                <w:b/>
                <w:bCs/>
                <w:sz w:val="24"/>
                <w:szCs w:val="24"/>
              </w:rPr>
              <w:t>o</w:t>
            </w:r>
          </w:p>
          <w:p w:rsidR="002873D9" w:rsidRPr="002873D9" w:rsidRDefault="00F61D2C" w:rsidP="002873D9">
            <w:pPr>
              <w:ind w:right="-1"/>
              <w:rPr>
                <w:rFonts w:eastAsia="Arial"/>
                <w:b/>
              </w:rPr>
            </w:pPr>
            <w:sdt>
              <w:sdtPr>
                <w:rPr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73D9" w:rsidRPr="002873D9"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2873D9" w:rsidRPr="002873D9">
              <w:rPr>
                <w:b/>
                <w:bCs/>
              </w:rPr>
              <w:t xml:space="preserve"> </w:t>
            </w:r>
            <w:r w:rsidR="002873D9" w:rsidRPr="002873D9">
              <w:rPr>
                <w:b/>
                <w:bCs/>
                <w:lang w:eastAsia="es-ES"/>
              </w:rPr>
              <w:t xml:space="preserve">Dispone </w:t>
            </w:r>
            <w:r w:rsidR="002873D9" w:rsidRPr="002873D9">
              <w:rPr>
                <w:lang w:eastAsia="es-ES"/>
              </w:rPr>
              <w:t>de la</w:t>
            </w:r>
            <w:r w:rsidR="002873D9" w:rsidRPr="002873D9">
              <w:rPr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2873D9" w:rsidRPr="002873D9">
              <w:rPr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5069EA" w:rsidTr="00BB7EDF">
        <w:sdt>
          <w:sdtPr>
            <w:rPr>
              <w:rFonts w:cs="Arial"/>
              <w:sz w:val="36"/>
              <w:szCs w:val="36"/>
            </w:rPr>
            <w:id w:val="92160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233001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jc w:val="center"/>
      </w:pPr>
    </w:p>
    <w:p w:rsidR="002873D9" w:rsidRDefault="002873D9" w:rsidP="00063A29">
      <w:pPr>
        <w:jc w:val="center"/>
      </w:pPr>
    </w:p>
    <w:p w:rsidR="00E31762" w:rsidRDefault="00E31762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E31762" w:rsidRDefault="00E31762" w:rsidP="00C245CA"/>
    <w:p w:rsidR="00E31762" w:rsidRDefault="00E31762" w:rsidP="00C245CA"/>
    <w:p w:rsidR="00E31762" w:rsidRDefault="00E31762" w:rsidP="00C245CA"/>
    <w:p w:rsidR="00E31762" w:rsidRDefault="00E31762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2"/>
      <w:bookmarkEnd w:id="3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BA7373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BA7373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526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A7373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1762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1D2C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7"/>
    <o:shapelayout v:ext="edit">
      <o:idmap v:ext="edit" data="1"/>
    </o:shapelayout>
  </w:shapeDefaults>
  <w:decimalSymbol w:val=","/>
  <w:listSeparator w:val=";"/>
  <w14:docId w14:val="4A4C2647"/>
  <w15:docId w15:val="{5997CFE1-5AF0-4779-9A9F-07A7EA6F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  <w:style w:type="character" w:customStyle="1" w:styleId="Estilo16">
    <w:name w:val="Estilo16"/>
    <w:basedOn w:val="Fuentedeprrafopredeter"/>
    <w:uiPriority w:val="1"/>
    <w:rsid w:val="00BA737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B828-8AC5-482F-A006-FF3E85B6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Ferre Gras, Anna</cp:lastModifiedBy>
  <cp:revision>24</cp:revision>
  <cp:lastPrinted>2018-08-21T12:25:00Z</cp:lastPrinted>
  <dcterms:created xsi:type="dcterms:W3CDTF">2018-09-19T07:37:00Z</dcterms:created>
  <dcterms:modified xsi:type="dcterms:W3CDTF">2024-04-10T12:08:00Z</dcterms:modified>
</cp:coreProperties>
</file>