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7E69D" w14:textId="77777777" w:rsidR="00A70B36" w:rsidRDefault="00A70B36" w:rsidP="00A70B36">
      <w:pPr>
        <w:pStyle w:val="NIVEL1"/>
        <w:rPr>
          <w:rFonts w:ascii="ENAIRE Titillium Regular" w:hAnsi="ENAIRE Titillium Regular" w:cs="Arial"/>
        </w:rPr>
      </w:pPr>
      <w:bookmarkStart w:id="0" w:name="_Toc101266731"/>
      <w:bookmarkStart w:id="1" w:name="_Toc101267070"/>
      <w:bookmarkStart w:id="2" w:name="_Toc101267745"/>
      <w:bookmarkStart w:id="3" w:name="_Toc101268083"/>
      <w:bookmarkStart w:id="4" w:name="_Toc101268421"/>
      <w:bookmarkStart w:id="5" w:name="_Toc101268757"/>
      <w:bookmarkStart w:id="6" w:name="_Toc103242207"/>
      <w:bookmarkStart w:id="7" w:name="_Toc103242543"/>
      <w:bookmarkStart w:id="8" w:name="_Toc165892415"/>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6C371563" w14:textId="77777777" w:rsidR="00A70B36" w:rsidRDefault="00A70B36" w:rsidP="00A70B36">
      <w:pPr>
        <w:rPr>
          <w:rFonts w:ascii="ENAIRE Titillium Regular" w:hAnsi="ENAIRE Titillium Regular" w:cs="Arial"/>
          <w:sz w:val="20"/>
          <w:lang w:val="es-ES"/>
        </w:rPr>
      </w:pPr>
    </w:p>
    <w:p w14:paraId="183C5693" w14:textId="77777777" w:rsidR="00A70B36" w:rsidRPr="00E12715" w:rsidRDefault="00A70B36" w:rsidP="00A70B36">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5DD2168C" w14:textId="77777777" w:rsidR="00A70B36" w:rsidRPr="00DC01D2" w:rsidRDefault="00A70B36" w:rsidP="00A70B36">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5FB7EE32" w14:textId="77777777" w:rsidR="00A70B36" w:rsidRPr="00DC01D2" w:rsidRDefault="00A70B36" w:rsidP="00A70B3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2E39DF3D" w14:textId="77777777" w:rsidR="00A70B36" w:rsidRPr="00DC01D2" w:rsidRDefault="00A70B36" w:rsidP="00A70B3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D35F049" w14:textId="77777777" w:rsidR="00A70B36" w:rsidRPr="00DC01D2" w:rsidRDefault="00A70B36" w:rsidP="00A70B3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19502B84" w14:textId="77777777" w:rsidR="00A70B36" w:rsidRPr="00DC01D2" w:rsidRDefault="00A70B36" w:rsidP="00A70B3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33A21855" w14:textId="77777777" w:rsidR="00A70B36" w:rsidRPr="00DC01D2" w:rsidRDefault="00A70B36" w:rsidP="00A70B3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6C8C4340" w14:textId="77777777" w:rsidR="00A70B36" w:rsidRPr="00DC01D2" w:rsidRDefault="00A70B36" w:rsidP="00A70B3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5BFCEE4D" w14:textId="77777777" w:rsidR="00A70B36" w:rsidRPr="00DC01D2" w:rsidRDefault="00A70B36" w:rsidP="00A70B3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114EEA26" w14:textId="77777777" w:rsidR="00A70B36" w:rsidRPr="00DC01D2" w:rsidRDefault="00A70B36" w:rsidP="00A70B3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1B79760B" w14:textId="77777777" w:rsidR="00A70B36" w:rsidRPr="00DC01D2" w:rsidRDefault="00A70B36" w:rsidP="00A70B3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1DB24D5A" w14:textId="77777777" w:rsidR="00A70B36" w:rsidRPr="00DC01D2" w:rsidRDefault="00A70B36" w:rsidP="00A70B3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5C4E48DD" w14:textId="77777777" w:rsidR="00A70B36" w:rsidRPr="00DC01D2" w:rsidRDefault="00A70B36" w:rsidP="00A70B3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424E37F4" w14:textId="77777777" w:rsidR="00A70B36" w:rsidRPr="00DC01D2" w:rsidRDefault="00A70B36" w:rsidP="00A70B36">
      <w:pPr>
        <w:autoSpaceDE w:val="0"/>
        <w:autoSpaceDN w:val="0"/>
        <w:adjustRightInd w:val="0"/>
        <w:jc w:val="both"/>
        <w:rPr>
          <w:rFonts w:eastAsia="Calibri"/>
          <w:lang w:val="es-ES"/>
        </w:rPr>
      </w:pPr>
    </w:p>
    <w:p w14:paraId="4DC5542C" w14:textId="77777777" w:rsidR="00A70B36" w:rsidRPr="00DC01D2" w:rsidRDefault="00A70B36" w:rsidP="00A70B36">
      <w:pPr>
        <w:autoSpaceDE w:val="0"/>
        <w:autoSpaceDN w:val="0"/>
        <w:adjustRightInd w:val="0"/>
        <w:jc w:val="both"/>
        <w:rPr>
          <w:rFonts w:eastAsia="Calibri"/>
          <w:lang w:val="es-ES"/>
        </w:rPr>
      </w:pPr>
    </w:p>
    <w:p w14:paraId="263AEF3B" w14:textId="77777777" w:rsidR="00A70B36" w:rsidRPr="00DC01D2" w:rsidRDefault="00A70B36" w:rsidP="00A70B36">
      <w:pPr>
        <w:spacing w:after="160" w:line="259" w:lineRule="auto"/>
        <w:rPr>
          <w:rFonts w:ascii="Arial" w:eastAsia="Times New Roman" w:hAnsi="Arial" w:cs="Arial"/>
          <w:snapToGrid w:val="0"/>
          <w:sz w:val="20"/>
          <w:szCs w:val="20"/>
          <w:lang w:val="es-ES" w:eastAsia="es-ES"/>
        </w:rPr>
      </w:pPr>
    </w:p>
    <w:p w14:paraId="3DF87CB5" w14:textId="77777777" w:rsidR="00A70B36" w:rsidRPr="00DC01D2" w:rsidRDefault="00A70B36" w:rsidP="00A70B36">
      <w:pPr>
        <w:spacing w:after="160" w:line="259" w:lineRule="auto"/>
        <w:rPr>
          <w:rFonts w:ascii="Arial" w:eastAsia="Times New Roman" w:hAnsi="Arial" w:cs="Arial"/>
          <w:snapToGrid w:val="0"/>
          <w:sz w:val="20"/>
          <w:szCs w:val="20"/>
          <w:lang w:val="es-ES" w:eastAsia="es-ES"/>
        </w:rPr>
      </w:pPr>
    </w:p>
    <w:p w14:paraId="00D4F02B" w14:textId="77777777" w:rsidR="00A70B36" w:rsidRPr="00DC01D2" w:rsidRDefault="00A70B36" w:rsidP="00A70B3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040E4EE2" w14:textId="77777777" w:rsidR="00A70B36" w:rsidRPr="00DC01D2" w:rsidRDefault="00A70B36" w:rsidP="00A70B36">
      <w:pPr>
        <w:spacing w:after="160" w:line="259" w:lineRule="auto"/>
        <w:rPr>
          <w:rFonts w:ascii="ENAIRE Titillium Regular" w:eastAsia="Times New Roman" w:hAnsi="ENAIRE Titillium Regular" w:cs="Arial"/>
          <w:snapToGrid w:val="0"/>
          <w:sz w:val="20"/>
          <w:szCs w:val="20"/>
          <w:lang w:val="es-ES" w:eastAsia="es-ES"/>
        </w:rPr>
      </w:pPr>
    </w:p>
    <w:p w14:paraId="33F4DC7D" w14:textId="77777777" w:rsidR="00A70B36" w:rsidRPr="00DC01D2" w:rsidRDefault="00A70B36" w:rsidP="00A70B36">
      <w:pPr>
        <w:spacing w:after="160" w:line="259" w:lineRule="auto"/>
        <w:rPr>
          <w:rFonts w:ascii="ENAIRE Titillium Regular" w:eastAsia="Times New Roman" w:hAnsi="ENAIRE Titillium Regular" w:cs="Arial"/>
          <w:snapToGrid w:val="0"/>
          <w:sz w:val="20"/>
          <w:szCs w:val="20"/>
          <w:lang w:val="es-ES" w:eastAsia="es-ES"/>
        </w:rPr>
      </w:pPr>
    </w:p>
    <w:p w14:paraId="53BB8913" w14:textId="77777777" w:rsidR="00A70B36" w:rsidRPr="00DC01D2" w:rsidRDefault="00A70B36" w:rsidP="00A70B3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5C867A66" w14:textId="77777777" w:rsidR="00A70B36" w:rsidRPr="00DC01D2" w:rsidRDefault="00A70B36" w:rsidP="00A70B3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2E129125" w14:textId="77777777" w:rsidR="00A70B36" w:rsidRPr="00DC01D2" w:rsidRDefault="00A70B36" w:rsidP="00A70B3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1956F61C" w14:textId="77777777" w:rsidR="00A70B36" w:rsidRPr="00DC01D2" w:rsidRDefault="00A70B36" w:rsidP="00A70B3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r>
        <w:rPr>
          <w:rFonts w:ascii="ENAIRE Titillium Regular" w:eastAsia="Times New Roman" w:hAnsi="ENAIRE Titillium Regular" w:cs="Arial"/>
          <w:snapToGrid w:val="0"/>
          <w:sz w:val="20"/>
          <w:szCs w:val="20"/>
          <w:lang w:val="es-ES" w:eastAsia="es-ES"/>
        </w:rPr>
        <w:t>…</w:t>
      </w:r>
    </w:p>
    <w:p w14:paraId="3F596733" w14:textId="77777777" w:rsidR="009D7AE8" w:rsidRDefault="009D7AE8"/>
    <w:sectPr w:rsidR="009D7AE8" w:rsidSect="00FD299F">
      <w:headerReference w:type="default" r:id="rId4"/>
      <w:footerReference w:type="default" r:id="rId5"/>
      <w:endnotePr>
        <w:numFmt w:val="decimal"/>
      </w:endnotePr>
      <w:pgSz w:w="11906" w:h="16838"/>
      <w:pgMar w:top="1701" w:right="1416" w:bottom="1418" w:left="1440" w:header="340" w:footer="567" w:gutter="0"/>
      <w:pgNumType w:fmt="numberInDash"/>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9541E" w14:textId="77777777" w:rsidR="00000000" w:rsidRDefault="00000000" w:rsidP="00311843">
    <w:pPr>
      <w:pStyle w:val="Piedepgina"/>
      <w:jc w:val="center"/>
    </w:pPr>
    <w:r>
      <w:fldChar w:fldCharType="begin"/>
    </w:r>
    <w:r>
      <w:instrText xml:space="preserve"> PAGE   \* MERGEFORMAT </w:instrText>
    </w:r>
    <w:r>
      <w:fldChar w:fldCharType="separate"/>
    </w:r>
    <w:r>
      <w:t>- 1 -</w:t>
    </w:r>
    <w:r>
      <w:fldChar w:fldCharType="end"/>
    </w:r>
  </w:p>
  <w:p w14:paraId="231CD000" w14:textId="77777777" w:rsidR="00000000" w:rsidRPr="00F56AB3" w:rsidRDefault="00000000" w:rsidP="00311843">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C5675" w14:textId="77777777" w:rsidR="00000000" w:rsidRDefault="00000000" w:rsidP="009B41CF">
    <w:pPr>
      <w:jc w:val="center"/>
    </w:pPr>
  </w:p>
  <w:p w14:paraId="17FD8885" w14:textId="77777777" w:rsidR="00000000" w:rsidRPr="005A6B73" w:rsidRDefault="00000000"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5DB614DB" wp14:editId="2D4AF0D3">
          <wp:simplePos x="0" y="0"/>
          <wp:positionH relativeFrom="page">
            <wp:posOffset>542925</wp:posOffset>
          </wp:positionH>
          <wp:positionV relativeFrom="page">
            <wp:posOffset>388620</wp:posOffset>
          </wp:positionV>
          <wp:extent cx="1864360" cy="237490"/>
          <wp:effectExtent l="0" t="0" r="0" b="0"/>
          <wp:wrapNone/>
          <wp:docPr id="1360318178" name="Imagen 1360318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6B0AC3" w14:textId="77777777" w:rsidR="00000000" w:rsidRPr="00D815E8" w:rsidRDefault="00000000"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110/2024</w:t>
    </w:r>
  </w:p>
  <w:p w14:paraId="4988E0BD" w14:textId="77777777" w:rsidR="00000000" w:rsidRPr="00D93237" w:rsidRDefault="00000000"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2F058B45" wp14:editId="02BCADE3">
              <wp:simplePos x="0" y="0"/>
              <wp:positionH relativeFrom="column">
                <wp:posOffset>1676400</wp:posOffset>
              </wp:positionH>
              <wp:positionV relativeFrom="paragraph">
                <wp:posOffset>98425</wp:posOffset>
              </wp:positionV>
              <wp:extent cx="4144010" cy="0"/>
              <wp:effectExtent l="0" t="0" r="0" b="0"/>
              <wp:wrapNone/>
              <wp:docPr id="1360318177" name="Conector recto 1360318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50FA5" id="Conector recto 136031817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23227CEB" w14:textId="77777777" w:rsidR="00000000" w:rsidRPr="00823CDF" w:rsidRDefault="00000000" w:rsidP="009B41CF">
    <w:pPr>
      <w:pStyle w:val="Encabezado"/>
      <w:rPr>
        <w:rFonts w:ascii="Arial" w:hAnsi="Arial" w:cs="Arial"/>
        <w:b/>
        <w:sz w:val="16"/>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B36"/>
    <w:rsid w:val="009D7AE8"/>
    <w:rsid w:val="00A70B3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12523"/>
  <w15:chartTrackingRefBased/>
  <w15:docId w15:val="{E32913FF-9E8E-40BE-B533-72E22343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36"/>
    <w:pPr>
      <w:spacing w:after="0" w:line="240" w:lineRule="auto"/>
    </w:pPr>
    <w:rPr>
      <w:rFonts w:ascii="Calibri" w:hAnsi="Calibri" w:cs="Times New Roman"/>
      <w:kern w:val="0"/>
      <w:lang w:val="en-US"/>
      <w14:ligatures w14:val="none"/>
    </w:rPr>
  </w:style>
  <w:style w:type="paragraph" w:styleId="Ttulo4">
    <w:name w:val="heading 4"/>
    <w:basedOn w:val="Normal"/>
    <w:next w:val="Normal"/>
    <w:link w:val="Ttulo4Car"/>
    <w:qFormat/>
    <w:rsid w:val="00A70B36"/>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A70B36"/>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A70B36"/>
    <w:rPr>
      <w:rFonts w:ascii="Arial" w:eastAsia="Times New Roman" w:hAnsi="Arial" w:cs="Times New Roman"/>
      <w:snapToGrid w:val="0"/>
      <w:color w:val="808080"/>
      <w:kern w:val="0"/>
      <w:szCs w:val="20"/>
      <w:u w:val="single"/>
      <w:lang w:val="en-US" w:eastAsia="x-none"/>
      <w14:ligatures w14:val="none"/>
    </w:rPr>
  </w:style>
  <w:style w:type="character" w:customStyle="1" w:styleId="Ttulo5Car">
    <w:name w:val="Título 5 Car"/>
    <w:basedOn w:val="Fuentedeprrafopredeter"/>
    <w:link w:val="Ttulo5"/>
    <w:rsid w:val="00A70B36"/>
    <w:rPr>
      <w:rFonts w:ascii="Univers" w:eastAsia="Times New Roman" w:hAnsi="Univers" w:cs="Times New Roman"/>
      <w:b/>
      <w:bCs/>
      <w:snapToGrid w:val="0"/>
      <w:kern w:val="0"/>
      <w:sz w:val="24"/>
      <w:szCs w:val="20"/>
      <w:lang w:val="en-US" w:eastAsia="es-ES"/>
      <w14:ligatures w14:val="none"/>
    </w:rPr>
  </w:style>
  <w:style w:type="paragraph" w:styleId="Encabezado">
    <w:name w:val="header"/>
    <w:basedOn w:val="Normal"/>
    <w:link w:val="EncabezadoCar"/>
    <w:rsid w:val="00A70B36"/>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A70B36"/>
    <w:rPr>
      <w:rFonts w:ascii="Courier" w:eastAsia="Times New Roman" w:hAnsi="Courier" w:cs="Times New Roman"/>
      <w:snapToGrid w:val="0"/>
      <w:kern w:val="0"/>
      <w:sz w:val="24"/>
      <w:szCs w:val="20"/>
      <w:lang w:val="en-US" w:eastAsia="x-none"/>
      <w14:ligatures w14:val="none"/>
    </w:rPr>
  </w:style>
  <w:style w:type="paragraph" w:styleId="Piedepgina">
    <w:name w:val="footer"/>
    <w:basedOn w:val="Normal"/>
    <w:link w:val="PiedepginaCar"/>
    <w:rsid w:val="00A70B36"/>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A70B36"/>
    <w:rPr>
      <w:rFonts w:ascii="Courier" w:eastAsia="Times New Roman" w:hAnsi="Courier" w:cs="Times New Roman"/>
      <w:snapToGrid w:val="0"/>
      <w:kern w:val="0"/>
      <w:sz w:val="24"/>
      <w:szCs w:val="20"/>
      <w:lang w:val="en-US" w:eastAsia="es-ES"/>
      <w14:ligatures w14:val="none"/>
    </w:rPr>
  </w:style>
  <w:style w:type="paragraph" w:customStyle="1" w:styleId="NIVEL1">
    <w:name w:val="NIVEL 1"/>
    <w:basedOn w:val="Normal"/>
    <w:link w:val="NIVEL1Car"/>
    <w:qFormat/>
    <w:rsid w:val="00A70B36"/>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A70B36"/>
    <w:rPr>
      <w:rFonts w:ascii="ENAIRE Titillium Bold" w:eastAsia="Times New Roman" w:hAnsi="ENAIRE Titillium Bold" w:cs="Times New Roman"/>
      <w:b/>
      <w:snapToGrid w:val="0"/>
      <w:kern w:val="0"/>
      <w:u w:val="single"/>
      <w:lang w:val="es-ES_tradnl"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e759ab0a8f8d9d69c099e442c31db7ef">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4c7e6c723f1948457ec7d8a7828d10ee"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077C6C-AB5D-4358-AABE-9467368470A8}"/>
</file>

<file path=customXml/itemProps2.xml><?xml version="1.0" encoding="utf-8"?>
<ds:datastoreItem xmlns:ds="http://schemas.openxmlformats.org/officeDocument/2006/customXml" ds:itemID="{8006BD20-94D8-4A4E-A59B-A5859FBB4559}"/>
</file>

<file path=docProps/app.xml><?xml version="1.0" encoding="utf-8"?>
<Properties xmlns="http://schemas.openxmlformats.org/officeDocument/2006/extended-properties" xmlns:vt="http://schemas.openxmlformats.org/officeDocument/2006/docPropsVTypes">
  <Template>Normal.dotm</Template>
  <TotalTime>1</TotalTime>
  <Pages>1</Pages>
  <Words>408</Words>
  <Characters>2246</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2024-05-09T06:06:00Z</dcterms:created>
  <dcterms:modified xsi:type="dcterms:W3CDTF">2024-05-09T06:07:00Z</dcterms:modified>
</cp:coreProperties>
</file>