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88C5B" w14:textId="77777777" w:rsidR="002B49BA" w:rsidRPr="003B5570" w:rsidRDefault="002B49BA" w:rsidP="002B49BA">
      <w:pPr>
        <w:pStyle w:val="NIVEL1"/>
        <w:rPr>
          <w:sz w:val="20"/>
          <w:lang w:val="es-ES"/>
        </w:rPr>
      </w:pPr>
      <w:bookmarkStart w:id="0" w:name="_Toc101266856"/>
      <w:bookmarkStart w:id="1" w:name="_Toc101267195"/>
      <w:bookmarkStart w:id="2" w:name="_Toc101267532"/>
      <w:bookmarkStart w:id="3" w:name="_Toc101267870"/>
      <w:bookmarkStart w:id="4" w:name="_Toc101268208"/>
      <w:bookmarkStart w:id="5" w:name="_Toc101268882"/>
      <w:bookmarkStart w:id="6" w:name="_Toc103242332"/>
      <w:bookmarkStart w:id="7" w:name="_Toc103242668"/>
      <w:bookmarkStart w:id="8" w:name="_Toc106364805"/>
      <w:r w:rsidRPr="003B5570">
        <w:rPr>
          <w:sz w:val="20"/>
          <w:lang w:val="es-ES"/>
        </w:rPr>
        <w:t>ANEXO V - MODELO DE DECLARACIÓN RESPONSABLE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B5570">
        <w:rPr>
          <w:sz w:val="20"/>
          <w:lang w:val="es-ES"/>
        </w:rPr>
        <w:t xml:space="preserve"> </w:t>
      </w:r>
    </w:p>
    <w:p w14:paraId="518D4544" w14:textId="77777777" w:rsidR="002B49BA" w:rsidRDefault="002B49BA" w:rsidP="002B49BA">
      <w:pPr>
        <w:rPr>
          <w:lang w:val="es-ES_tradnl"/>
        </w:rPr>
      </w:pPr>
    </w:p>
    <w:p w14:paraId="33A7231C" w14:textId="77777777" w:rsidR="002B49BA" w:rsidRDefault="002B49BA" w:rsidP="002B49BA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2DFAC81C" w14:textId="77777777" w:rsidR="002B49BA" w:rsidRPr="00967522" w:rsidRDefault="002B49BA" w:rsidP="002B49BA">
      <w:pPr>
        <w:tabs>
          <w:tab w:val="left" w:pos="8789"/>
        </w:tabs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08DB92F9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</w:p>
    <w:p w14:paraId="6AA201CB" w14:textId="77777777" w:rsidR="002B49BA" w:rsidRPr="00967522" w:rsidRDefault="002B49BA" w:rsidP="002B49B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642BB072" w14:textId="77777777" w:rsidR="002B49BA" w:rsidRPr="00D56757" w:rsidRDefault="002B49BA" w:rsidP="002B49BA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B1CEE3C" w14:textId="77777777" w:rsidR="002B49BA" w:rsidRPr="00D56757" w:rsidRDefault="002B49BA" w:rsidP="002B49B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1FEC786C" w14:textId="77777777" w:rsidR="002B49BA" w:rsidRPr="00967522" w:rsidRDefault="002B49BA" w:rsidP="002B49BA">
      <w:pPr>
        <w:tabs>
          <w:tab w:val="left" w:pos="419"/>
        </w:tabs>
        <w:spacing w:before="120" w:after="120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4DD48E31" w14:textId="77777777" w:rsidR="002B49BA" w:rsidRPr="00D56757" w:rsidRDefault="002B49BA" w:rsidP="002B49B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6E5FC829" w14:textId="77777777" w:rsidR="002B49BA" w:rsidRPr="00D56757" w:rsidRDefault="002B49BA" w:rsidP="002B49BA">
      <w:pPr>
        <w:tabs>
          <w:tab w:val="left" w:pos="419"/>
        </w:tabs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6B8ECF58" w14:textId="77777777" w:rsidR="002B49BA" w:rsidRPr="00967522" w:rsidRDefault="002B49BA" w:rsidP="002B49BA">
      <w:pPr>
        <w:numPr>
          <w:ilvl w:val="0"/>
          <w:numId w:val="4"/>
        </w:numPr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60B545F3" w14:textId="77777777" w:rsidR="002B49BA" w:rsidRPr="00967522" w:rsidRDefault="002B49BA" w:rsidP="002B49BA">
      <w:pPr>
        <w:tabs>
          <w:tab w:val="left" w:pos="419"/>
        </w:tabs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ab/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2549532C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090874F0" w14:textId="77777777" w:rsidR="002B49BA" w:rsidRPr="005237C5" w:rsidRDefault="002B49BA" w:rsidP="002B49BA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FF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</w:t>
      </w:r>
      <w:r w:rsidRPr="004B7A3D">
        <w:rPr>
          <w:rFonts w:ascii="ENAIRE Titillium Regular" w:hAnsi="ENAIRE Titillium Regular" w:cs="ENAIRE Titillium Regular"/>
          <w:sz w:val="20"/>
          <w:lang w:val="es-ES"/>
        </w:rPr>
        <w:t xml:space="preserve">especificados en este Pliego y en particular, con los medios humanos exigidos en el PPT para la ejecución del contrato. </w:t>
      </w:r>
    </w:p>
    <w:p w14:paraId="247AC646" w14:textId="77777777" w:rsidR="002B49BA" w:rsidRPr="00967522" w:rsidRDefault="002B49BA" w:rsidP="002B49BA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15152FEB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68DBFE98" w14:textId="77777777" w:rsidR="002B49BA" w:rsidRPr="00967522" w:rsidRDefault="002B49BA" w:rsidP="002B49BA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AC2FE36" w14:textId="77777777" w:rsidR="002B49BA" w:rsidRPr="00967522" w:rsidRDefault="002B49BA" w:rsidP="002B49BA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059F342A" w14:textId="77777777" w:rsidR="002B49BA" w:rsidRPr="00967522" w:rsidRDefault="002B49BA" w:rsidP="002B49BA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47A0DADE" w14:textId="77777777" w:rsidR="002B49BA" w:rsidRPr="00967522" w:rsidRDefault="002B49BA" w:rsidP="002B49BA">
      <w:pPr>
        <w:numPr>
          <w:ilvl w:val="0"/>
          <w:numId w:val="1"/>
        </w:numPr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00F9458D" w14:textId="77777777" w:rsidR="002B49BA" w:rsidRPr="00967522" w:rsidRDefault="002B49BA" w:rsidP="002B49BA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75EDEFF6" w14:textId="77777777" w:rsidR="002B49BA" w:rsidRPr="00967522" w:rsidRDefault="002B49BA" w:rsidP="002B49BA">
      <w:pPr>
        <w:tabs>
          <w:tab w:val="left" w:pos="851"/>
        </w:tabs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>
        <w:rPr>
          <w:rFonts w:ascii="ENAIRE Titillium Regular" w:hAnsi="ENAIRE Titillium Regular" w:cs="Arial"/>
          <w:sz w:val="20"/>
          <w:lang w:val="es-ES_tradnl"/>
        </w:rPr>
        <w:t>.</w:t>
      </w:r>
    </w:p>
    <w:p w14:paraId="441BA3FC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736EC40C" w14:textId="77777777" w:rsidR="002B49BA" w:rsidRPr="00967522" w:rsidRDefault="002B49BA" w:rsidP="002B49BA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7B6407D4" w14:textId="77777777" w:rsidR="002B49BA" w:rsidRPr="00967522" w:rsidRDefault="002B49BA" w:rsidP="002B49BA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478D3971" w14:textId="77777777" w:rsidR="002B49BA" w:rsidRPr="00967522" w:rsidRDefault="002B49BA" w:rsidP="002B49BA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0FE16D69" w14:textId="77777777" w:rsidR="002B49BA" w:rsidRPr="00967522" w:rsidRDefault="002B49BA" w:rsidP="002B49BA">
      <w:pPr>
        <w:numPr>
          <w:ilvl w:val="0"/>
          <w:numId w:val="1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562F01F3" w14:textId="77777777" w:rsidR="002B49BA" w:rsidRPr="00967522" w:rsidRDefault="002B49BA" w:rsidP="002B49BA">
      <w:pPr>
        <w:tabs>
          <w:tab w:val="left" w:pos="419"/>
        </w:tabs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46AB8F1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D45E471" w14:textId="77777777" w:rsidR="002B49BA" w:rsidRPr="00967522" w:rsidRDefault="002B49BA" w:rsidP="002B49BA">
      <w:pPr>
        <w:keepNext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2D59BCA9" w14:textId="77777777" w:rsidR="002B49BA" w:rsidRPr="00967522" w:rsidRDefault="002B49BA" w:rsidP="002B49BA">
      <w:pPr>
        <w:tabs>
          <w:tab w:val="left" w:pos="419"/>
        </w:tabs>
        <w:spacing w:before="120" w:after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6A771BD" w14:textId="77777777" w:rsidR="002B49BA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40C35167" w14:textId="77777777" w:rsidR="002B49BA" w:rsidRPr="00AE6BF0" w:rsidRDefault="002B49BA" w:rsidP="002B49BA">
      <w:pPr>
        <w:keepNext/>
        <w:numPr>
          <w:ilvl w:val="1"/>
          <w:numId w:val="5"/>
        </w:numPr>
        <w:tabs>
          <w:tab w:val="left" w:pos="426"/>
        </w:tabs>
        <w:spacing w:after="120" w:line="288" w:lineRule="auto"/>
        <w:ind w:left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DECLARA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.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 </w:t>
      </w:r>
    </w:p>
    <w:p w14:paraId="2016ABEB" w14:textId="77777777" w:rsidR="002B49BA" w:rsidRPr="005237C5" w:rsidRDefault="002B49BA" w:rsidP="002B49BA">
      <w:pPr>
        <w:keepNext/>
        <w:tabs>
          <w:tab w:val="left" w:pos="426"/>
        </w:tabs>
        <w:spacing w:line="288" w:lineRule="auto"/>
        <w:ind w:left="425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5237C5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5237C5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No</w:t>
      </w:r>
    </w:p>
    <w:p w14:paraId="20CE257F" w14:textId="77777777" w:rsidR="002B49BA" w:rsidRPr="009B6524" w:rsidRDefault="002B49BA" w:rsidP="002B49BA">
      <w:pPr>
        <w:keepNext/>
        <w:tabs>
          <w:tab w:val="left" w:pos="426"/>
        </w:tabs>
        <w:spacing w:before="120" w:line="288" w:lineRule="auto"/>
        <w:ind w:left="425"/>
        <w:jc w:val="both"/>
        <w:rPr>
          <w:rFonts w:ascii="ENAIRE Titillium Bold" w:hAnsi="ENAIRE Titillium Bold" w:cs="Arial"/>
          <w:sz w:val="20"/>
          <w:lang w:val="es-ES_tradnl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denominación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:</w:t>
      </w:r>
    </w:p>
    <w:p w14:paraId="1F814BC9" w14:textId="77777777" w:rsidR="002B49BA" w:rsidRPr="00AE6BF0" w:rsidRDefault="002B49BA" w:rsidP="002B49BA">
      <w:pPr>
        <w:pStyle w:val="Prrafodelista"/>
        <w:numPr>
          <w:ilvl w:val="1"/>
          <w:numId w:val="5"/>
        </w:numPr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"/>
        </w:rPr>
      </w:pPr>
      <w:r w:rsidRPr="00AE6BF0">
        <w:rPr>
          <w:rFonts w:ascii="ENAIRE Titillium Regular" w:hAnsi="ENAIRE Titillium Regular" w:cs="Arial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</w:t>
      </w:r>
      <w:r>
        <w:rPr>
          <w:rFonts w:ascii="ENAIRE Titillium Regular" w:hAnsi="ENAIRE Titillium Regular" w:cs="Arial"/>
          <w:sz w:val="20"/>
          <w:lang w:val="es"/>
        </w:rPr>
        <w:t>.</w:t>
      </w:r>
    </w:p>
    <w:p w14:paraId="3E451EE8" w14:textId="77777777" w:rsidR="002B49BA" w:rsidRPr="00AE6BF0" w:rsidRDefault="002B49BA" w:rsidP="002B49BA">
      <w:pPr>
        <w:pStyle w:val="Prrafodelista"/>
        <w:tabs>
          <w:tab w:val="left" w:pos="419"/>
        </w:tabs>
        <w:spacing w:before="120" w:after="120" w:line="288" w:lineRule="auto"/>
        <w:ind w:left="426"/>
        <w:jc w:val="both"/>
        <w:rPr>
          <w:rFonts w:ascii="ENAIRE Titillium Regular" w:hAnsi="ENAIRE Titillium Regular" w:cs="Arial"/>
          <w:sz w:val="20"/>
          <w:lang w:val="es-ES"/>
        </w:rPr>
      </w:pP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AE6BF0">
        <w:rPr>
          <w:rFonts w:ascii="Courier New" w:hAnsi="Courier New" w:cs="Courier New"/>
          <w:b/>
          <w:sz w:val="20"/>
          <w:lang w:val="es-ES"/>
        </w:rPr>
        <w:t>□</w:t>
      </w:r>
      <w:r w:rsidRPr="00AE6BF0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AE6BF0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7CBF8FA8" w14:textId="77777777" w:rsidR="002B49BA" w:rsidRPr="00AE6BF0" w:rsidRDefault="002B49BA" w:rsidP="002B49BA">
      <w:pPr>
        <w:spacing w:before="120" w:after="120" w:line="288" w:lineRule="auto"/>
        <w:ind w:firstLine="426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5BF71704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313ADF61" w14:textId="77777777" w:rsidR="002B49BA" w:rsidRPr="005237C5" w:rsidRDefault="002B49BA" w:rsidP="002B49BA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3A98476F" w14:textId="77777777" w:rsidR="002B49BA" w:rsidRDefault="002B49BA" w:rsidP="002B49BA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7EF933D4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3946494C" w14:textId="77777777" w:rsidR="002B49BA" w:rsidRPr="005237C5" w:rsidRDefault="002B49BA" w:rsidP="002B49BA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5876B70F" w14:textId="77777777" w:rsidR="002B49BA" w:rsidRPr="00967522" w:rsidRDefault="002B49BA" w:rsidP="002B49BA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D599B1B" w14:textId="77777777" w:rsidR="002B49BA" w:rsidRPr="004B7A3D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Regular" w:hAnsi="ENAIRE Titillium Regular" w:cs="Arial"/>
          <w:lang w:val="es-ES_tradnl"/>
        </w:rPr>
      </w:pPr>
      <w:r w:rsidRPr="004B7A3D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Protección y condiciones de trabajo </w:t>
      </w:r>
    </w:p>
    <w:p w14:paraId="51A040C9" w14:textId="77777777" w:rsidR="002B49BA" w:rsidRPr="004B7A3D" w:rsidRDefault="002B49BA" w:rsidP="002B49BA">
      <w:pPr>
        <w:keepNext/>
        <w:spacing w:before="120" w:line="288" w:lineRule="auto"/>
        <w:jc w:val="both"/>
        <w:rPr>
          <w:rFonts w:ascii="ENAIRE Titillium Regular" w:hAnsi="ENAIRE Titillium Regular" w:cs="Arial"/>
          <w:lang w:val="es-ES_tradnl"/>
        </w:rPr>
      </w:pPr>
      <w:r w:rsidRPr="004B7A3D">
        <w:rPr>
          <w:rFonts w:ascii="ENAIRE Titillium Regular" w:hAnsi="ENAIRE Titillium Regular" w:cs="Arial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4B7A3D">
        <w:rPr>
          <w:rFonts w:ascii="ENAIRE Titillium Regular" w:hAnsi="ENAIRE Titillium Regular" w:cs="Arial"/>
          <w:lang w:val="es-ES_tradnl"/>
        </w:rPr>
        <w:t xml:space="preserve">. </w:t>
      </w:r>
    </w:p>
    <w:p w14:paraId="0BE24107" w14:textId="77777777" w:rsidR="002B49BA" w:rsidRPr="004B7A3D" w:rsidRDefault="002B49BA" w:rsidP="002B49BA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4B7A3D">
        <w:rPr>
          <w:rFonts w:ascii="Courier New" w:hAnsi="Courier New" w:cs="Courier New"/>
          <w:b/>
          <w:snapToGrid w:val="0"/>
          <w:sz w:val="20"/>
        </w:rPr>
        <w:t>□</w:t>
      </w:r>
      <w:r w:rsidRPr="004B7A3D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4B7A3D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4B7A3D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4B7A3D">
        <w:rPr>
          <w:rFonts w:ascii="Courier New" w:hAnsi="Courier New" w:cs="Courier New"/>
          <w:b/>
          <w:snapToGrid w:val="0"/>
          <w:sz w:val="20"/>
        </w:rPr>
        <w:t>□</w:t>
      </w:r>
      <w:r w:rsidRPr="004B7A3D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4B7A3D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01E57380" w14:textId="77777777" w:rsidR="002B49BA" w:rsidRPr="00967522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4B7A3D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 xml:space="preserve">Sometimiento a la jurisdicción española </w:t>
      </w: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(cumplimentar únicamente en el caso de empresas extranjeras)</w:t>
      </w:r>
    </w:p>
    <w:p w14:paraId="5A8CB3B0" w14:textId="77777777" w:rsidR="002B49BA" w:rsidRPr="005237C5" w:rsidRDefault="002B49BA" w:rsidP="002B49BA">
      <w:pPr>
        <w:keepNext/>
        <w:tabs>
          <w:tab w:val="left" w:pos="426"/>
        </w:tabs>
        <w:spacing w:before="12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62D65E00" w14:textId="77777777" w:rsidR="002B49BA" w:rsidRPr="00967522" w:rsidRDefault="002B49BA" w:rsidP="002B49BA">
      <w:pPr>
        <w:tabs>
          <w:tab w:val="left" w:pos="419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4E10888" w14:textId="77777777" w:rsidR="002B49BA" w:rsidRPr="00AC4256" w:rsidRDefault="002B49BA" w:rsidP="002B49BA">
      <w:pPr>
        <w:keepNext/>
        <w:numPr>
          <w:ilvl w:val="0"/>
          <w:numId w:val="2"/>
        </w:numPr>
        <w:tabs>
          <w:tab w:val="left" w:pos="426"/>
        </w:tabs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58111DC6" w14:textId="77777777" w:rsidR="002B49BA" w:rsidRPr="00967522" w:rsidRDefault="002B49BA" w:rsidP="002B49BA">
      <w:pPr>
        <w:spacing w:before="120"/>
        <w:ind w:right="-113"/>
        <w:jc w:val="both"/>
        <w:rPr>
          <w:rFonts w:ascii="ENAIRE Titillium Regular" w:hAnsi="ENAIRE Titillium Regular" w:cs="Arial"/>
          <w:bCs/>
          <w:color w:val="000000"/>
          <w:sz w:val="20"/>
        </w:rPr>
      </w:pPr>
      <w:r w:rsidRPr="005237C5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El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licitador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bCs/>
          <w:color w:val="000000"/>
          <w:sz w:val="20"/>
        </w:rPr>
        <w:t>incluirá</w:t>
      </w:r>
      <w:proofErr w:type="spellEnd"/>
      <w:r w:rsidRPr="00967522">
        <w:rPr>
          <w:rFonts w:ascii="ENAIRE Titillium Regular" w:hAnsi="ENAIRE Titillium Regular" w:cs="Arial"/>
          <w:bCs/>
          <w:color w:val="000000"/>
          <w:sz w:val="20"/>
        </w:rPr>
        <w:t>:</w:t>
      </w:r>
    </w:p>
    <w:p w14:paraId="23B02300" w14:textId="77777777" w:rsidR="002B49BA" w:rsidRPr="005237C5" w:rsidRDefault="002B49BA" w:rsidP="002B49BA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5237C5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373B8A52" w14:textId="77777777" w:rsidR="002B49BA" w:rsidRPr="00967522" w:rsidRDefault="002B49BA" w:rsidP="002B49BA">
      <w:pPr>
        <w:widowControl w:val="0"/>
        <w:numPr>
          <w:ilvl w:val="0"/>
          <w:numId w:val="3"/>
        </w:numPr>
        <w:ind w:right="-113"/>
        <w:jc w:val="both"/>
        <w:rPr>
          <w:rFonts w:ascii="ENAIRE Titillium Regular" w:hAnsi="ENAIRE Titillium Regular" w:cs="ENAIRE Titillium Regular"/>
          <w:sz w:val="20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Dirección de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correo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ENAIRE Titillium Regular"/>
          <w:color w:val="000000"/>
          <w:sz w:val="20"/>
        </w:rPr>
        <w:t>electrónico</w:t>
      </w:r>
      <w:proofErr w:type="spellEnd"/>
      <w:r w:rsidRPr="00967522">
        <w:rPr>
          <w:rFonts w:ascii="ENAIRE Titillium Regular" w:hAnsi="ENAIRE Titillium Regular" w:cs="ENAIRE Titillium Regular"/>
          <w:color w:val="000000"/>
          <w:sz w:val="20"/>
        </w:rPr>
        <w:t xml:space="preserve"> </w:t>
      </w:r>
    </w:p>
    <w:p w14:paraId="02364508" w14:textId="77777777" w:rsidR="002B49BA" w:rsidRPr="00967522" w:rsidRDefault="002B49BA" w:rsidP="002B49BA">
      <w:pPr>
        <w:ind w:right="-113"/>
        <w:jc w:val="both"/>
        <w:rPr>
          <w:rFonts w:ascii="ENAIRE Titillium Regular" w:hAnsi="ENAIRE Titillium Regular" w:cs="ENAIRE Titillium Regular"/>
          <w:color w:val="000000"/>
          <w:sz w:val="20"/>
        </w:rPr>
      </w:pPr>
    </w:p>
    <w:p w14:paraId="77030431" w14:textId="77777777" w:rsidR="002B49BA" w:rsidRPr="00967522" w:rsidRDefault="002B49BA" w:rsidP="002B49BA">
      <w:pPr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49C4C629" w14:textId="77777777" w:rsidR="002B49BA" w:rsidRPr="00995CC3" w:rsidRDefault="002B49BA" w:rsidP="002B49BA">
      <w:pPr>
        <w:ind w:left="284"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1CF2F521" w14:textId="77777777" w:rsidR="002B49BA" w:rsidRPr="003B5570" w:rsidRDefault="002B49BA" w:rsidP="002B49B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En…………</w:t>
      </w:r>
      <w:proofErr w:type="gramStart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…….</w:t>
      </w:r>
      <w:proofErr w:type="gramEnd"/>
      <w:r w:rsidRPr="00995CC3">
        <w:rPr>
          <w:rFonts w:ascii="ENAIRE Titillium Regular" w:hAnsi="ENAIRE Titillium Regular" w:cs="ENAIRE Titillium Regular"/>
          <w:color w:val="000000"/>
          <w:sz w:val="20"/>
          <w:lang w:val="es-ES"/>
        </w:rPr>
        <w:t>.….., a ….. de .................................</w:t>
      </w:r>
      <w:r w:rsidRPr="003B5570">
        <w:rPr>
          <w:rFonts w:ascii="ENAIRE Titillium Regular" w:hAnsi="ENAIRE Titillium Regular" w:cs="Arial"/>
          <w:sz w:val="20"/>
        </w:rPr>
        <w:t xml:space="preserve"> de .......... </w:t>
      </w:r>
    </w:p>
    <w:p w14:paraId="2FB2AB7C" w14:textId="77777777" w:rsidR="002B49BA" w:rsidRPr="003B5570" w:rsidRDefault="002B49BA" w:rsidP="002B49BA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(Lugar, fecha y firma del representante)</w:t>
      </w:r>
    </w:p>
    <w:p w14:paraId="74698C3C" w14:textId="77777777" w:rsidR="002B49BA" w:rsidRDefault="002B49BA" w:rsidP="002B49B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</w:p>
    <w:p w14:paraId="1035D1FC" w14:textId="77777777" w:rsidR="002B49BA" w:rsidRPr="003B5570" w:rsidRDefault="002B49BA" w:rsidP="002B49BA">
      <w:pPr>
        <w:pStyle w:val="Prrafo"/>
        <w:tabs>
          <w:tab w:val="left" w:pos="8789"/>
        </w:tabs>
        <w:rPr>
          <w:rFonts w:ascii="ENAIRE Titillium Regular" w:hAnsi="ENAIRE Titillium Regular" w:cs="Arial"/>
          <w:sz w:val="20"/>
        </w:rPr>
      </w:pPr>
      <w:r w:rsidRPr="003B5570">
        <w:rPr>
          <w:rFonts w:ascii="ENAIRE Titillium Regular" w:hAnsi="ENAIRE Titillium Regular" w:cs="Arial"/>
          <w:sz w:val="20"/>
        </w:rPr>
        <w:t>NOTA:</w:t>
      </w:r>
    </w:p>
    <w:p w14:paraId="7BC57182" w14:textId="77777777" w:rsidR="002B49BA" w:rsidRPr="003B5570" w:rsidRDefault="002B49BA" w:rsidP="002B49BA">
      <w:pPr>
        <w:ind w:right="-496"/>
        <w:jc w:val="both"/>
        <w:rPr>
          <w:rFonts w:ascii="ENAIRE Titillium Regular" w:hAnsi="ENAIRE Titillium Regular" w:cs="Arial"/>
          <w:sz w:val="20"/>
          <w:lang w:val="es-ES_tradnl"/>
        </w:rPr>
      </w:pPr>
      <w:r>
        <w:rPr>
          <w:rFonts w:ascii="ENAIRE Titillium Regular" w:hAnsi="ENAIRE Titillium Regular" w:cs="Arial"/>
          <w:sz w:val="20"/>
          <w:lang w:val="es-ES_tradnl"/>
        </w:rPr>
        <w:t>En caso de</w:t>
      </w:r>
      <w:r w:rsidRPr="003B5570">
        <w:rPr>
          <w:rFonts w:ascii="ENAIRE Titillium Regular" w:hAnsi="ENAIRE Titillium Regular" w:cs="Arial"/>
          <w:sz w:val="20"/>
          <w:lang w:val="es-ES_tradnl"/>
        </w:rPr>
        <w:t xml:space="preserve"> UTE deberá presentarse un certificado por cada una de las empresas componentes de la unión temporal</w:t>
      </w:r>
      <w:r w:rsidRPr="003B5570">
        <w:rPr>
          <w:rFonts w:ascii="ENAIRE Titillium Regular" w:hAnsi="ENAIRE Titillium Regular" w:cs="Arial"/>
          <w:sz w:val="20"/>
          <w:lang w:val="es-ES"/>
        </w:rPr>
        <w:t>.</w:t>
      </w:r>
    </w:p>
    <w:p w14:paraId="60A07492" w14:textId="77777777" w:rsidR="002B49BA" w:rsidRPr="00512483" w:rsidRDefault="002B49BA" w:rsidP="002B49BA">
      <w:pPr>
        <w:pStyle w:val="NIVEL1"/>
        <w:rPr>
          <w:rFonts w:ascii="ENAIRE Titillium Regular" w:hAnsi="ENAIRE Titillium Regular" w:cs="Arial"/>
        </w:rPr>
      </w:pPr>
    </w:p>
    <w:p w14:paraId="06A4F80F" w14:textId="77777777" w:rsidR="002B49BA" w:rsidRDefault="002B49BA" w:rsidP="002B49BA">
      <w:pPr>
        <w:rPr>
          <w:rFonts w:ascii="ENAIRE Titillium Regular" w:hAnsi="ENAIRE Titillium Regular" w:cs="Arial"/>
          <w:sz w:val="20"/>
          <w:lang w:val="es-ES"/>
        </w:rPr>
      </w:pPr>
      <w:r>
        <w:rPr>
          <w:rFonts w:ascii="ENAIRE Titillium Regular" w:hAnsi="ENAIRE Titillium Regular" w:cs="Arial"/>
          <w:sz w:val="20"/>
          <w:lang w:val="es-ES"/>
        </w:rPr>
        <w:br w:type="page"/>
      </w:r>
    </w:p>
    <w:p w14:paraId="01CD03F6" w14:textId="77777777" w:rsidR="002B49BA" w:rsidRDefault="002B49BA" w:rsidP="002B49BA">
      <w:pPr>
        <w:pStyle w:val="NIVEL1"/>
        <w:rPr>
          <w:rFonts w:ascii="ENAIRE Titillium Regular" w:hAnsi="ENAIRE Titillium Regular" w:cs="Arial"/>
        </w:rPr>
      </w:pPr>
      <w:bookmarkStart w:id="9" w:name="_Toc101266857"/>
      <w:bookmarkStart w:id="10" w:name="_Toc101267196"/>
      <w:bookmarkStart w:id="11" w:name="_Toc101267533"/>
      <w:bookmarkStart w:id="12" w:name="_Toc101267871"/>
      <w:bookmarkStart w:id="13" w:name="_Toc101268209"/>
      <w:bookmarkStart w:id="14" w:name="_Toc101268883"/>
      <w:bookmarkStart w:id="15" w:name="_Toc103242333"/>
      <w:bookmarkStart w:id="16" w:name="_Toc103242669"/>
      <w:bookmarkStart w:id="17" w:name="_Toc106364806"/>
      <w:r w:rsidRPr="003B5570">
        <w:lastRenderedPageBreak/>
        <w:t>ANEXO V</w:t>
      </w:r>
      <w:r>
        <w:t>I</w:t>
      </w:r>
      <w:r w:rsidRPr="003B5570">
        <w:t xml:space="preserve"> - </w:t>
      </w:r>
      <w:r w:rsidRPr="004A19E9">
        <w:rPr>
          <w:lang w:val="es-ES"/>
        </w:rPr>
        <w:t>MODELO DE DECLARACIÓN RESPONSABLE DE AUSENCIA DE CONFLICTO DE INTERESES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11DA3CC" w14:textId="77777777" w:rsidR="002B49BA" w:rsidRDefault="002B49BA" w:rsidP="002B49BA">
      <w:pPr>
        <w:rPr>
          <w:rFonts w:ascii="ENAIRE Titillium Regular" w:hAnsi="ENAIRE Titillium Regular" w:cs="Arial"/>
          <w:sz w:val="20"/>
          <w:lang w:val="es-ES"/>
        </w:rPr>
      </w:pPr>
    </w:p>
    <w:p w14:paraId="5921A220" w14:textId="77777777" w:rsidR="002B49BA" w:rsidRPr="00E12715" w:rsidRDefault="002B49BA" w:rsidP="002B49BA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A558E5F" w14:textId="77777777" w:rsidR="002B49BA" w:rsidRPr="005237C5" w:rsidRDefault="002B49BA" w:rsidP="002B49BA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D/Dª......................................................,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al objeto de garantizar la imparcialidad en el procedimiento de contratación arriba referenciado declara/declaran:</w:t>
      </w:r>
    </w:p>
    <w:p w14:paraId="3F43D02B" w14:textId="77777777" w:rsidR="002B49BA" w:rsidRPr="005237C5" w:rsidRDefault="002B49BA" w:rsidP="002B49BA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795CCA0" w14:textId="77777777" w:rsidR="002B49BA" w:rsidRDefault="002B49BA" w:rsidP="002B49BA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38D7E925" w14:textId="77777777" w:rsidR="002B49BA" w:rsidRDefault="002B49BA" w:rsidP="002B49BA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E18142C" w14:textId="77777777" w:rsidR="002B49BA" w:rsidRPr="005237C5" w:rsidRDefault="002B49BA" w:rsidP="002B49BA">
      <w:pPr>
        <w:widowControl w:val="0"/>
        <w:autoSpaceDE w:val="0"/>
        <w:autoSpaceDN w:val="0"/>
        <w:adjustRightInd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Primero. Estar informado/s de lo siguiente:</w:t>
      </w:r>
    </w:p>
    <w:p w14:paraId="0CCAACC3" w14:textId="77777777" w:rsidR="002B49BA" w:rsidRPr="005237C5" w:rsidRDefault="002B49BA" w:rsidP="002B49BA">
      <w:pPr>
        <w:widowControl w:val="0"/>
        <w:spacing w:before="91"/>
        <w:ind w:right="4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65260F9" w14:textId="77777777" w:rsidR="002B49BA" w:rsidRPr="005237C5" w:rsidRDefault="002B49BA" w:rsidP="002B49BA">
      <w:pPr>
        <w:widowControl w:val="0"/>
        <w:numPr>
          <w:ilvl w:val="0"/>
          <w:numId w:val="6"/>
        </w:numPr>
        <w:tabs>
          <w:tab w:val="left" w:pos="336"/>
        </w:tabs>
        <w:autoSpaceDE w:val="0"/>
        <w:autoSpaceDN w:val="0"/>
        <w:spacing w:before="11"/>
        <w:ind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 xml:space="preserve">Que el artículo 61.3 «Conflicto de intereses», del Reglamento (UE, </w:t>
      </w:r>
      <w:proofErr w:type="spellStart"/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Euratom</w:t>
      </w:r>
      <w:proofErr w:type="spellEnd"/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personal.»</w:t>
      </w:r>
    </w:p>
    <w:p w14:paraId="315F09C6" w14:textId="77777777" w:rsidR="002B49BA" w:rsidRPr="005237C5" w:rsidRDefault="002B49BA" w:rsidP="002B49BA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606B830" w14:textId="77777777" w:rsidR="002B49BA" w:rsidRPr="005237C5" w:rsidRDefault="002B49BA" w:rsidP="002B49BA">
      <w:pPr>
        <w:widowControl w:val="0"/>
        <w:numPr>
          <w:ilvl w:val="0"/>
          <w:numId w:val="6"/>
        </w:numPr>
        <w:tabs>
          <w:tab w:val="left" w:pos="352"/>
        </w:tabs>
        <w:autoSpaceDE w:val="0"/>
        <w:autoSpaceDN w:val="0"/>
        <w:ind w:right="34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6AD4D94F" w14:textId="77777777" w:rsidR="002B49BA" w:rsidRPr="005237C5" w:rsidRDefault="002B49BA" w:rsidP="002B49BA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2A19DAB" w14:textId="77777777" w:rsidR="002B49BA" w:rsidRPr="005237C5" w:rsidRDefault="002B49BA" w:rsidP="002B49BA">
      <w:pPr>
        <w:widowControl w:val="0"/>
        <w:numPr>
          <w:ilvl w:val="0"/>
          <w:numId w:val="6"/>
        </w:numPr>
        <w:tabs>
          <w:tab w:val="left" w:pos="365"/>
        </w:tabs>
        <w:autoSpaceDE w:val="0"/>
        <w:autoSpaceDN w:val="0"/>
        <w:ind w:right="354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0D2A673D" w14:textId="77777777" w:rsidR="002B49BA" w:rsidRPr="005237C5" w:rsidRDefault="002B49BA" w:rsidP="002B49BA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EC758E5" w14:textId="77777777" w:rsidR="002B49BA" w:rsidRPr="005237C5" w:rsidRDefault="002B49BA" w:rsidP="002B49BA">
      <w:pPr>
        <w:widowControl w:val="0"/>
        <w:numPr>
          <w:ilvl w:val="0"/>
          <w:numId w:val="7"/>
        </w:numPr>
        <w:tabs>
          <w:tab w:val="left" w:pos="366"/>
        </w:tabs>
        <w:autoSpaceDE w:val="0"/>
        <w:autoSpaceDN w:val="0"/>
        <w:ind w:left="993" w:right="354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interés personal en el asunto de que se trate o en otro en cuya resolución pudiera influir la de aquél; ser administrador de sociedad o entidad interesada, o tener cuestión litigiosa pendiente con algún interesado.</w:t>
      </w:r>
    </w:p>
    <w:p w14:paraId="30AA0979" w14:textId="77777777" w:rsidR="002B49BA" w:rsidRPr="005237C5" w:rsidRDefault="002B49BA" w:rsidP="002B49BA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63A2BB5" w14:textId="77777777" w:rsidR="002B49BA" w:rsidRPr="005237C5" w:rsidRDefault="002B49BA" w:rsidP="002B49BA">
      <w:pPr>
        <w:widowControl w:val="0"/>
        <w:numPr>
          <w:ilvl w:val="0"/>
          <w:numId w:val="7"/>
        </w:numPr>
        <w:tabs>
          <w:tab w:val="left" w:pos="346"/>
        </w:tabs>
        <w:autoSpaceDE w:val="0"/>
        <w:autoSpaceDN w:val="0"/>
        <w:ind w:left="993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00AB7831" w14:textId="77777777" w:rsidR="002B49BA" w:rsidRPr="005237C5" w:rsidRDefault="002B49BA" w:rsidP="002B49BA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D2E98D3" w14:textId="77777777" w:rsidR="002B49BA" w:rsidRPr="005237C5" w:rsidRDefault="002B49BA" w:rsidP="002B49BA">
      <w:pPr>
        <w:widowControl w:val="0"/>
        <w:numPr>
          <w:ilvl w:val="0"/>
          <w:numId w:val="7"/>
        </w:numPr>
        <w:tabs>
          <w:tab w:val="left" w:pos="347"/>
        </w:tabs>
        <w:autoSpaceDE w:val="0"/>
        <w:autoSpaceDN w:val="0"/>
        <w:ind w:left="993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amistad íntima o enemistad manifiesta con alguna de las personas mencionadas en el apartado anterior.</w:t>
      </w:r>
    </w:p>
    <w:p w14:paraId="0FA9AE83" w14:textId="77777777" w:rsidR="002B49BA" w:rsidRPr="005237C5" w:rsidRDefault="002B49BA" w:rsidP="002B49BA">
      <w:pPr>
        <w:widowControl w:val="0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B98825F" w14:textId="77777777" w:rsidR="002B49BA" w:rsidRPr="005237C5" w:rsidRDefault="002B49BA" w:rsidP="002B49BA">
      <w:pPr>
        <w:widowControl w:val="0"/>
        <w:numPr>
          <w:ilvl w:val="0"/>
          <w:numId w:val="7"/>
        </w:numPr>
        <w:tabs>
          <w:tab w:val="left" w:pos="352"/>
        </w:tabs>
        <w:autoSpaceDE w:val="0"/>
        <w:autoSpaceDN w:val="0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Haber intervenido como perito o como testigo en el procedimiento de que se trate.</w:t>
      </w:r>
    </w:p>
    <w:p w14:paraId="24CE6BDA" w14:textId="77777777" w:rsidR="002B49BA" w:rsidRPr="005237C5" w:rsidRDefault="002B49BA" w:rsidP="002B49BA">
      <w:pPr>
        <w:widowControl w:val="0"/>
        <w:spacing w:before="9"/>
        <w:ind w:left="993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E0C4F0F" w14:textId="77777777" w:rsidR="002B49BA" w:rsidRPr="005237C5" w:rsidRDefault="002B49BA" w:rsidP="002B49BA">
      <w:pPr>
        <w:widowControl w:val="0"/>
        <w:numPr>
          <w:ilvl w:val="0"/>
          <w:numId w:val="7"/>
        </w:numPr>
        <w:tabs>
          <w:tab w:val="left" w:pos="342"/>
        </w:tabs>
        <w:autoSpaceDE w:val="0"/>
        <w:autoSpaceDN w:val="0"/>
        <w:ind w:left="993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Tener relación de servicio con persona natural o jurídica interesada directamente en el asunto, o haberle prestado en los dos últimos años servicios profesionales de cualquier tipo y en cualquier circunstancia o lugar».</w:t>
      </w:r>
    </w:p>
    <w:p w14:paraId="5941A327" w14:textId="77777777" w:rsidR="002B49BA" w:rsidRPr="005237C5" w:rsidRDefault="002B49BA" w:rsidP="002B49BA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61CEB8E" w14:textId="77777777" w:rsidR="002B49BA" w:rsidRPr="005237C5" w:rsidRDefault="002B49BA" w:rsidP="002B49BA">
      <w:pPr>
        <w:widowControl w:val="0"/>
        <w:ind w:left="118" w:right="355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Segundo. 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5E857F00" w14:textId="77777777" w:rsidR="002B49BA" w:rsidRPr="005237C5" w:rsidRDefault="002B49BA" w:rsidP="002B49BA">
      <w:pPr>
        <w:widowControl w:val="0"/>
        <w:spacing w:before="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426609BA" w14:textId="77777777" w:rsidR="002B49BA" w:rsidRPr="005237C5" w:rsidRDefault="002B49BA" w:rsidP="002B49BA">
      <w:pPr>
        <w:widowControl w:val="0"/>
        <w:spacing w:before="9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F8FFF88" w14:textId="77777777" w:rsidR="002B49BA" w:rsidRPr="005237C5" w:rsidRDefault="002B49BA" w:rsidP="002B49BA">
      <w:pPr>
        <w:widowControl w:val="0"/>
        <w:spacing w:before="1"/>
        <w:ind w:left="118" w:right="35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lastRenderedPageBreak/>
        <w:t>Tercero. 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324AF1E1" w14:textId="77777777" w:rsidR="002B49BA" w:rsidRPr="005237C5" w:rsidRDefault="002B49BA" w:rsidP="002B49BA">
      <w:pPr>
        <w:widowControl w:val="0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002E06AE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  <w:r w:rsidRPr="005237C5"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  <w:t>Cuarto. Conozco que, una declaración de ausencia de conflicto de intereses que se demuestre que sea falsa, acarreará las consecuencias disciplinarias/administrativas/judiciales que establezca la normativa de aplicación.</w:t>
      </w:r>
    </w:p>
    <w:p w14:paraId="00C2EEB2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514BDFF5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66DB922E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1083DB83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D88DA2D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7626C2EA" w14:textId="77777777" w:rsidR="002B49BA" w:rsidRPr="005237C5" w:rsidRDefault="002B49BA" w:rsidP="002B49BA">
      <w:pPr>
        <w:widowControl w:val="0"/>
        <w:spacing w:before="1"/>
        <w:ind w:left="118" w:right="352"/>
        <w:jc w:val="both"/>
        <w:rPr>
          <w:rFonts w:ascii="ENAIRE Titillium Regular" w:eastAsia="Times New Roman" w:hAnsi="ENAIRE Titillium Regular" w:cs="Arial"/>
          <w:snapToGrid w:val="0"/>
          <w:sz w:val="20"/>
          <w:szCs w:val="20"/>
          <w:lang w:val="es-ES" w:eastAsia="es-ES"/>
        </w:rPr>
      </w:pPr>
    </w:p>
    <w:p w14:paraId="24442801" w14:textId="77777777" w:rsidR="004D71E9" w:rsidRDefault="004D71E9"/>
    <w:sectPr w:rsidR="004D71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F71EC3C8"/>
    <w:lvl w:ilvl="0" w:tplc="71F08582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  <w:strike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540FE"/>
    <w:multiLevelType w:val="hybridMultilevel"/>
    <w:tmpl w:val="48EC15B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36B05"/>
    <w:multiLevelType w:val="hybridMultilevel"/>
    <w:tmpl w:val="B57858E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024176">
    <w:abstractNumId w:val="0"/>
  </w:num>
  <w:num w:numId="2" w16cid:durableId="411859628">
    <w:abstractNumId w:val="3"/>
  </w:num>
  <w:num w:numId="3" w16cid:durableId="1827432598">
    <w:abstractNumId w:val="6"/>
  </w:num>
  <w:num w:numId="4" w16cid:durableId="587083305">
    <w:abstractNumId w:val="1"/>
  </w:num>
  <w:num w:numId="5" w16cid:durableId="349261677">
    <w:abstractNumId w:val="2"/>
  </w:num>
  <w:num w:numId="6" w16cid:durableId="1210647358">
    <w:abstractNumId w:val="5"/>
  </w:num>
  <w:num w:numId="7" w16cid:durableId="268440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9BA"/>
    <w:rsid w:val="002B49BA"/>
    <w:rsid w:val="004D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4FC2B"/>
  <w15:chartTrackingRefBased/>
  <w15:docId w15:val="{189540A3-07B8-4A66-93B2-659221209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9BA"/>
    <w:pPr>
      <w:spacing w:after="0" w:line="240" w:lineRule="auto"/>
    </w:pPr>
    <w:rPr>
      <w:rFonts w:ascii="Calibri" w:hAnsi="Calibri" w:cs="Times New Roman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Arial 8,Pie,Párrafo de lista1,List Paragraph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2B49BA"/>
    <w:pPr>
      <w:widowControl w:val="0"/>
      <w:ind w:left="708"/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PrrafodelistaCar">
    <w:name w:val="Párrafo de lista Car"/>
    <w:aliases w:val="Arial 8 Car,Pie Car,Párrafo de lista1 Car,List Paragraph Car,List Paragraph1 Car,Normal N3 Car,lp1 Car,Puntos1 Car,List1 Car,Bullet List Car,FooterText Car,numbered Car,Paragraphe de liste1 Car,Use Case List Paragraph Car,列出段落 Car"/>
    <w:link w:val="Prrafodelista"/>
    <w:uiPriority w:val="34"/>
    <w:qFormat/>
    <w:rsid w:val="002B49BA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customStyle="1" w:styleId="Prrafo">
    <w:name w:val="Párrafo"/>
    <w:basedOn w:val="Textoindependiente"/>
    <w:uiPriority w:val="99"/>
    <w:rsid w:val="002B49BA"/>
    <w:pPr>
      <w:spacing w:before="120" w:line="288" w:lineRule="auto"/>
      <w:jc w:val="both"/>
    </w:pPr>
    <w:rPr>
      <w:rFonts w:ascii="Arial" w:eastAsia="Times New Roman" w:hAnsi="Arial"/>
      <w:szCs w:val="20"/>
      <w:lang w:val="es-ES_tradnl" w:eastAsia="es-ES"/>
    </w:rPr>
  </w:style>
  <w:style w:type="paragraph" w:customStyle="1" w:styleId="NIVEL1">
    <w:name w:val="NIVEL 1"/>
    <w:basedOn w:val="Normal"/>
    <w:link w:val="NIVEL1Car"/>
    <w:qFormat/>
    <w:rsid w:val="002B49BA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2B49BA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B49B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B49BA"/>
    <w:rPr>
      <w:rFonts w:ascii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1319</Words>
  <Characters>7259</Characters>
  <Application>Microsoft Office Word</Application>
  <DocSecurity>0</DocSecurity>
  <Lines>60</Lines>
  <Paragraphs>17</Paragraphs>
  <ScaleCrop>false</ScaleCrop>
  <Company/>
  <LinksUpToDate>false</LinksUpToDate>
  <CharactersWithSpaces>8561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2022-06-20T11:13:00Z</dcterms:created>
  <dcterms:modified xsi:type="dcterms:W3CDTF">2022-06-20T11:14:00Z</dcterms:modified>
</cp:coreProperties>
</file>